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56"/>
        <w:gridCol w:w="5508"/>
      </w:tblGrid>
      <w:tr w:rsidR="002A238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bookmarkStart w:id="0" w:name="_GoBack"/>
            <w:bookmarkEnd w:id="0"/>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tcBorders>
              <w:bottom w:val="single" w:sz="18" w:space="0" w:color="auto"/>
            </w:tcBorders>
          </w:tcPr>
          <w:p w:rsidR="002A2389" w:rsidRDefault="000275E7" w:rsidP="00D32B51">
            <w:pPr>
              <w:pStyle w:val="Infotext"/>
              <w:rPr>
                <w:rFonts w:ascii="Arial Black" w:hAnsi="Arial Black" w:cs="Arial"/>
                <w:sz w:val="36"/>
                <w:szCs w:val="36"/>
              </w:rPr>
            </w:pPr>
            <w:r>
              <w:rPr>
                <w:rFonts w:ascii="Arial Black" w:hAnsi="Arial Black" w:cs="Arial"/>
                <w:sz w:val="36"/>
                <w:szCs w:val="36"/>
              </w:rPr>
              <w:t>LICENSING AND GENERAL PURPOSES</w:t>
            </w:r>
            <w:r w:rsidR="00FF71E5">
              <w:rPr>
                <w:rFonts w:ascii="Arial Black" w:hAnsi="Arial Black" w:cs="Arial"/>
                <w:sz w:val="36"/>
                <w:szCs w:val="36"/>
              </w:rPr>
              <w:t xml:space="preserve"> </w:t>
            </w:r>
            <w:r w:rsidR="00D841A5" w:rsidRPr="00D841A5">
              <w:rPr>
                <w:rFonts w:ascii="Arial Black" w:hAnsi="Arial Black" w:cs="Arial"/>
                <w:sz w:val="36"/>
                <w:szCs w:val="36"/>
              </w:rPr>
              <w:t>COMMITTEE</w:t>
            </w:r>
          </w:p>
          <w:p w:rsidR="002C1794" w:rsidRPr="002C1794" w:rsidRDefault="002C1794" w:rsidP="000275E7">
            <w:pPr>
              <w:pStyle w:val="Infotext"/>
              <w:rPr>
                <w:rFonts w:ascii="Arial Black" w:hAnsi="Arial Black" w:cs="Arial"/>
                <w:color w:val="0000FF"/>
                <w:sz w:val="36"/>
                <w:szCs w:val="36"/>
              </w:rPr>
            </w:pPr>
          </w:p>
        </w:tc>
      </w:tr>
      <w:tr w:rsidR="002A238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tcBorders>
              <w:top w:val="single" w:sz="18" w:space="0" w:color="auto"/>
            </w:tcBorders>
          </w:tcPr>
          <w:p w:rsidR="002A2389" w:rsidRDefault="000275E7">
            <w:pPr>
              <w:pStyle w:val="Infotext"/>
              <w:rPr>
                <w:rFonts w:cs="Arial"/>
              </w:rPr>
            </w:pPr>
            <w:r>
              <w:rPr>
                <w:rFonts w:cs="Arial"/>
              </w:rPr>
              <w:t>6 February 2019</w:t>
            </w: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tcPr>
          <w:p w:rsidR="002A2389" w:rsidRDefault="000275E7" w:rsidP="000618C2">
            <w:pPr>
              <w:pStyle w:val="Infotext"/>
              <w:rPr>
                <w:rFonts w:cs="Arial"/>
              </w:rPr>
            </w:pPr>
            <w:r>
              <w:rPr>
                <w:rFonts w:cs="Arial"/>
              </w:rPr>
              <w:t xml:space="preserve">Review of Polling Districts and Polling </w:t>
            </w:r>
            <w:r w:rsidR="00AE26CA" w:rsidRPr="00AE26CA">
              <w:rPr>
                <w:rFonts w:cs="Arial"/>
              </w:rPr>
              <w:t>Places</w:t>
            </w: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tcPr>
          <w:p w:rsidR="002A2389" w:rsidRDefault="000275E7">
            <w:pPr>
              <w:pStyle w:val="Infotext"/>
              <w:rPr>
                <w:rFonts w:cs="Arial"/>
              </w:rPr>
            </w:pPr>
            <w:r>
              <w:rPr>
                <w:rFonts w:cs="Arial"/>
              </w:rPr>
              <w:t>Hugh Peart</w:t>
            </w:r>
          </w:p>
          <w:p w:rsidR="000275E7" w:rsidRDefault="000275E7">
            <w:pPr>
              <w:pStyle w:val="Infotext"/>
              <w:rPr>
                <w:rFonts w:cs="Arial"/>
              </w:rPr>
            </w:pPr>
            <w:r>
              <w:rPr>
                <w:rFonts w:cs="Arial"/>
              </w:rPr>
              <w:t>Director of Legal and Governance Services</w:t>
            </w:r>
          </w:p>
          <w:p w:rsidR="007D56C8" w:rsidRDefault="007D56C8">
            <w:pPr>
              <w:pStyle w:val="Infotext"/>
              <w:rPr>
                <w:rFonts w:cs="Arial"/>
              </w:rPr>
            </w:pPr>
          </w:p>
        </w:tc>
      </w:tr>
      <w:tr w:rsidR="002A2389">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tcPr>
          <w:p w:rsidR="002A2389" w:rsidRDefault="002A2389">
            <w:pPr>
              <w:pStyle w:val="Infotext"/>
              <w:rPr>
                <w:rFonts w:cs="Arial"/>
              </w:rPr>
            </w:pPr>
            <w:r>
              <w:rPr>
                <w:rFonts w:cs="Arial"/>
              </w:rPr>
              <w:t>No</w:t>
            </w:r>
          </w:p>
          <w:p w:rsidR="002A2389" w:rsidRDefault="002A2389" w:rsidP="000275E7">
            <w:pPr>
              <w:pStyle w:val="Infotext"/>
              <w:rPr>
                <w:rFonts w:cs="Arial"/>
              </w:rPr>
            </w:pPr>
          </w:p>
        </w:tc>
      </w:tr>
      <w:tr w:rsidR="00B900E2">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tcPr>
          <w:p w:rsidR="00B900E2" w:rsidRDefault="000275E7">
            <w:pPr>
              <w:pStyle w:val="Infotext"/>
            </w:pPr>
            <w:r>
              <w:t>All wards</w:t>
            </w:r>
          </w:p>
        </w:tc>
      </w:tr>
      <w:tr w:rsidR="002A238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tcPr>
          <w:p w:rsidR="002A2389" w:rsidRDefault="002A2389">
            <w:pPr>
              <w:pStyle w:val="Infotext"/>
            </w:pPr>
          </w:p>
          <w:p w:rsidR="002A2389" w:rsidRDefault="00CE2AFC">
            <w:pPr>
              <w:pStyle w:val="Infotext"/>
            </w:pPr>
            <w:r>
              <w:t>Appendix 1 – Proposed Terms of Reference</w:t>
            </w:r>
          </w:p>
        </w:tc>
      </w:tr>
    </w:tbl>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A8679E" w:rsidRDefault="00A8679E" w:rsidP="00C90F95">
            <w:pPr>
              <w:jc w:val="both"/>
              <w:rPr>
                <w:rFonts w:cs="Arial"/>
              </w:rPr>
            </w:pPr>
            <w:r>
              <w:rPr>
                <w:rFonts w:cs="Arial"/>
              </w:rPr>
              <w:t>This report sets out the proposal for review of Harrow’s polling districts and polling</w:t>
            </w:r>
            <w:r w:rsidR="00AE26CA">
              <w:rPr>
                <w:rFonts w:cs="Arial"/>
              </w:rPr>
              <w:t xml:space="preserve"> </w:t>
            </w:r>
            <w:r w:rsidR="00AE26CA" w:rsidRPr="008F74FE">
              <w:rPr>
                <w:rFonts w:cs="Arial"/>
                <w:color w:val="000000"/>
              </w:rPr>
              <w:t>places</w:t>
            </w:r>
            <w:r w:rsidRPr="008F74FE">
              <w:rPr>
                <w:rFonts w:cs="Arial"/>
                <w:color w:val="000000"/>
              </w:rPr>
              <w:t xml:space="preserve"> </w:t>
            </w:r>
            <w:r>
              <w:rPr>
                <w:rFonts w:cs="Arial"/>
              </w:rPr>
              <w:t>in accordance with legislation.</w:t>
            </w:r>
          </w:p>
          <w:p w:rsidR="002A2389" w:rsidRDefault="002A2389" w:rsidP="00C90F95">
            <w:pPr>
              <w:pStyle w:val="Heading2"/>
              <w:jc w:val="both"/>
            </w:pPr>
          </w:p>
          <w:p w:rsidR="002A2389" w:rsidRDefault="002A2389" w:rsidP="00C90F95">
            <w:pPr>
              <w:pStyle w:val="Heading2"/>
              <w:jc w:val="both"/>
            </w:pPr>
            <w:r>
              <w:t xml:space="preserve">Recommendations: </w:t>
            </w:r>
          </w:p>
          <w:p w:rsidR="00741E04" w:rsidRDefault="00741E04" w:rsidP="00C90F95">
            <w:pPr>
              <w:jc w:val="both"/>
              <w:rPr>
                <w:rFonts w:cs="Arial"/>
              </w:rPr>
            </w:pPr>
          </w:p>
          <w:p w:rsidR="006175D8" w:rsidRDefault="006175D8" w:rsidP="00C90F95">
            <w:pPr>
              <w:jc w:val="both"/>
              <w:rPr>
                <w:rFonts w:cs="Arial"/>
              </w:rPr>
            </w:pPr>
            <w:r>
              <w:rPr>
                <w:rFonts w:cs="Arial"/>
              </w:rPr>
              <w:t>The Committee is requested to</w:t>
            </w:r>
            <w:r w:rsidR="008A0670">
              <w:rPr>
                <w:rFonts w:cs="Arial"/>
              </w:rPr>
              <w:t xml:space="preserve"> agree</w:t>
            </w:r>
            <w:r>
              <w:rPr>
                <w:rFonts w:cs="Arial"/>
              </w:rPr>
              <w:t>:</w:t>
            </w:r>
          </w:p>
          <w:p w:rsidR="006175D8" w:rsidRDefault="006175D8" w:rsidP="00C90F95">
            <w:pPr>
              <w:jc w:val="both"/>
              <w:rPr>
                <w:rFonts w:cs="Arial"/>
              </w:rPr>
            </w:pPr>
          </w:p>
          <w:p w:rsidR="006175D8" w:rsidRDefault="008A0670" w:rsidP="00C90F95">
            <w:pPr>
              <w:numPr>
                <w:ilvl w:val="0"/>
                <w:numId w:val="8"/>
              </w:numPr>
              <w:jc w:val="both"/>
              <w:rPr>
                <w:rFonts w:cs="Arial"/>
              </w:rPr>
            </w:pPr>
            <w:r>
              <w:rPr>
                <w:rFonts w:cs="Arial"/>
              </w:rPr>
              <w:t>T</w:t>
            </w:r>
            <w:r w:rsidR="006175D8">
              <w:rPr>
                <w:rFonts w:cs="Arial"/>
              </w:rPr>
              <w:t xml:space="preserve">o establish a Review Working Group to undertake the review of the polling districts and polling </w:t>
            </w:r>
            <w:r w:rsidR="001843F0">
              <w:rPr>
                <w:rFonts w:cs="Arial"/>
              </w:rPr>
              <w:t>places</w:t>
            </w:r>
            <w:r w:rsidR="006175D8">
              <w:rPr>
                <w:rFonts w:cs="Arial"/>
              </w:rPr>
              <w:t xml:space="preserve"> in Harrow;</w:t>
            </w:r>
          </w:p>
          <w:p w:rsidR="006175D8" w:rsidRDefault="006175D8" w:rsidP="00C90F95">
            <w:pPr>
              <w:jc w:val="both"/>
              <w:rPr>
                <w:rFonts w:cs="Arial"/>
              </w:rPr>
            </w:pPr>
          </w:p>
          <w:p w:rsidR="006175D8" w:rsidRDefault="008A0670" w:rsidP="00C90F95">
            <w:pPr>
              <w:numPr>
                <w:ilvl w:val="0"/>
                <w:numId w:val="8"/>
              </w:numPr>
              <w:jc w:val="both"/>
              <w:rPr>
                <w:rFonts w:cs="Arial"/>
              </w:rPr>
            </w:pPr>
            <w:r>
              <w:rPr>
                <w:rFonts w:cs="Arial"/>
              </w:rPr>
              <w:t>T</w:t>
            </w:r>
            <w:r w:rsidR="006175D8">
              <w:rPr>
                <w:rFonts w:cs="Arial"/>
              </w:rPr>
              <w:t>he appointment of 5 Members (3 Labour, 2 Conservative) to the Review Working Group</w:t>
            </w:r>
            <w:r w:rsidR="00106D0C">
              <w:rPr>
                <w:rFonts w:cs="Arial"/>
              </w:rPr>
              <w:t xml:space="preserve"> </w:t>
            </w:r>
            <w:r w:rsidR="00106D0C" w:rsidRPr="008F74FE">
              <w:rPr>
                <w:rFonts w:cs="Arial"/>
                <w:color w:val="000000"/>
              </w:rPr>
              <w:t>the</w:t>
            </w:r>
            <w:r w:rsidR="00106D0C" w:rsidRPr="008A0670">
              <w:rPr>
                <w:rFonts w:cs="Arial"/>
                <w:color w:val="FF0000"/>
              </w:rPr>
              <w:t xml:space="preserve"> </w:t>
            </w:r>
            <w:r w:rsidR="00D5732D">
              <w:rPr>
                <w:rFonts w:cs="Arial"/>
              </w:rPr>
              <w:t>Members</w:t>
            </w:r>
            <w:r w:rsidR="00934D5F">
              <w:rPr>
                <w:rFonts w:cs="Arial"/>
              </w:rPr>
              <w:t xml:space="preserve"> </w:t>
            </w:r>
            <w:r w:rsidR="005517E4">
              <w:rPr>
                <w:rFonts w:cs="Arial"/>
              </w:rPr>
              <w:t>being</w:t>
            </w:r>
            <w:r w:rsidR="00106D0C">
              <w:rPr>
                <w:rFonts w:cs="Arial"/>
              </w:rPr>
              <w:t xml:space="preserve"> </w:t>
            </w:r>
            <w:r w:rsidR="00894302">
              <w:rPr>
                <w:rFonts w:cs="Arial"/>
              </w:rPr>
              <w:t xml:space="preserve">nominated </w:t>
            </w:r>
            <w:r w:rsidR="00106D0C">
              <w:rPr>
                <w:rFonts w:cs="Arial"/>
              </w:rPr>
              <w:t xml:space="preserve">by the </w:t>
            </w:r>
            <w:r w:rsidR="00AE26CA">
              <w:rPr>
                <w:rFonts w:cs="Arial"/>
              </w:rPr>
              <w:t xml:space="preserve">Group </w:t>
            </w:r>
            <w:r w:rsidR="00106D0C">
              <w:rPr>
                <w:rFonts w:cs="Arial"/>
              </w:rPr>
              <w:t>Leaders</w:t>
            </w:r>
            <w:r w:rsidR="00C434C1">
              <w:rPr>
                <w:rFonts w:cs="Arial"/>
              </w:rPr>
              <w:t>;</w:t>
            </w:r>
          </w:p>
          <w:p w:rsidR="00894302" w:rsidRDefault="00894302" w:rsidP="00894302">
            <w:pPr>
              <w:pStyle w:val="ListParagraph"/>
              <w:rPr>
                <w:rFonts w:cs="Arial"/>
              </w:rPr>
            </w:pPr>
          </w:p>
          <w:p w:rsidR="00894302" w:rsidRDefault="00894302" w:rsidP="00C90F95">
            <w:pPr>
              <w:numPr>
                <w:ilvl w:val="0"/>
                <w:numId w:val="8"/>
              </w:numPr>
              <w:jc w:val="both"/>
              <w:rPr>
                <w:rFonts w:cs="Arial"/>
              </w:rPr>
            </w:pPr>
            <w:r>
              <w:rPr>
                <w:rFonts w:cs="Arial"/>
              </w:rPr>
              <w:lastRenderedPageBreak/>
              <w:t>That if the nominated member is unable to attend any meeting, a substitute can attend in place of that member;</w:t>
            </w:r>
          </w:p>
          <w:p w:rsidR="006175D8" w:rsidRDefault="006175D8" w:rsidP="00C90F95">
            <w:pPr>
              <w:jc w:val="both"/>
              <w:rPr>
                <w:rFonts w:cs="Arial"/>
              </w:rPr>
            </w:pPr>
          </w:p>
          <w:p w:rsidR="00BF7A2E" w:rsidRPr="008F74FE" w:rsidRDefault="008A0670" w:rsidP="00C90F95">
            <w:pPr>
              <w:numPr>
                <w:ilvl w:val="0"/>
                <w:numId w:val="8"/>
              </w:numPr>
              <w:jc w:val="both"/>
              <w:rPr>
                <w:rFonts w:cs="Arial"/>
                <w:color w:val="000000"/>
              </w:rPr>
            </w:pPr>
            <w:r w:rsidRPr="008F74FE">
              <w:rPr>
                <w:rFonts w:cs="Arial"/>
                <w:color w:val="000000"/>
              </w:rPr>
              <w:t>The additional appointment of one</w:t>
            </w:r>
            <w:r w:rsidR="00BF7A2E" w:rsidRPr="008F74FE">
              <w:rPr>
                <w:rFonts w:cs="Arial"/>
                <w:color w:val="000000"/>
              </w:rPr>
              <w:t xml:space="preserve"> </w:t>
            </w:r>
            <w:r w:rsidR="00894302" w:rsidRPr="008F74FE">
              <w:rPr>
                <w:rFonts w:cs="Arial"/>
                <w:color w:val="000000"/>
              </w:rPr>
              <w:t xml:space="preserve">non-voting co-opted </w:t>
            </w:r>
            <w:r w:rsidR="00BF7A2E" w:rsidRPr="008F74FE">
              <w:rPr>
                <w:rFonts w:cs="Arial"/>
                <w:color w:val="000000"/>
              </w:rPr>
              <w:t xml:space="preserve">representative from </w:t>
            </w:r>
            <w:r w:rsidR="00894302" w:rsidRPr="008F74FE">
              <w:rPr>
                <w:rFonts w:cs="Arial"/>
                <w:color w:val="000000"/>
              </w:rPr>
              <w:t xml:space="preserve">Harrow East or Harrow West Labour Party and </w:t>
            </w:r>
            <w:r w:rsidRPr="008F74FE">
              <w:rPr>
                <w:rFonts w:cs="Arial"/>
                <w:color w:val="000000"/>
              </w:rPr>
              <w:t xml:space="preserve">one </w:t>
            </w:r>
            <w:r w:rsidR="00894302" w:rsidRPr="008F74FE">
              <w:rPr>
                <w:rFonts w:cs="Arial"/>
                <w:color w:val="000000"/>
              </w:rPr>
              <w:t xml:space="preserve">Harrow East or Harrow West Conservatives </w:t>
            </w:r>
            <w:r w:rsidR="00BF7A2E" w:rsidRPr="008F74FE">
              <w:rPr>
                <w:rFonts w:cs="Arial"/>
                <w:color w:val="000000"/>
              </w:rPr>
              <w:t>to the Review Working Group</w:t>
            </w:r>
            <w:r w:rsidR="00AE26CA" w:rsidRPr="008F74FE">
              <w:rPr>
                <w:rFonts w:cs="Arial"/>
                <w:color w:val="000000"/>
              </w:rPr>
              <w:t>;</w:t>
            </w:r>
            <w:r w:rsidR="00520576" w:rsidRPr="008F74FE">
              <w:rPr>
                <w:rFonts w:cs="Arial"/>
                <w:color w:val="000000"/>
              </w:rPr>
              <w:t xml:space="preserve"> and</w:t>
            </w:r>
          </w:p>
          <w:p w:rsidR="00BF7A2E" w:rsidRDefault="00BF7A2E" w:rsidP="00C90F95">
            <w:pPr>
              <w:jc w:val="both"/>
              <w:rPr>
                <w:rFonts w:cs="Arial"/>
              </w:rPr>
            </w:pPr>
          </w:p>
          <w:p w:rsidR="006175D8" w:rsidRDefault="00934D5F" w:rsidP="00C90F95">
            <w:pPr>
              <w:numPr>
                <w:ilvl w:val="0"/>
                <w:numId w:val="8"/>
              </w:numPr>
              <w:jc w:val="both"/>
              <w:rPr>
                <w:rFonts w:cs="Arial"/>
              </w:rPr>
            </w:pPr>
            <w:r>
              <w:rPr>
                <w:rFonts w:cs="Arial"/>
              </w:rPr>
              <w:t>A</w:t>
            </w:r>
            <w:r w:rsidR="006175D8">
              <w:rPr>
                <w:rFonts w:cs="Arial"/>
              </w:rPr>
              <w:t>gree the terms of reference of the R</w:t>
            </w:r>
            <w:r w:rsidR="006202DC">
              <w:rPr>
                <w:rFonts w:cs="Arial"/>
              </w:rPr>
              <w:t>eview Working Group set out at A</w:t>
            </w:r>
            <w:r w:rsidR="006175D8">
              <w:rPr>
                <w:rFonts w:cs="Arial"/>
              </w:rPr>
              <w:t>ppendix 1.</w:t>
            </w:r>
          </w:p>
          <w:p w:rsidR="002A2389" w:rsidRDefault="002A2389"/>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FF71E5">
          <w:headerReference w:type="first" r:id="rId8"/>
          <w:footerReference w:type="first" r:id="rId9"/>
          <w:pgSz w:w="11909" w:h="16834" w:code="9"/>
          <w:pgMar w:top="1008" w:right="1800" w:bottom="2880" w:left="1800" w:header="1008" w:footer="432" w:gutter="0"/>
          <w:cols w:space="720"/>
          <w:titlePg/>
          <w:docGrid w:linePitch="360"/>
        </w:sectPr>
      </w:pPr>
    </w:p>
    <w:p w:rsidR="002A2389" w:rsidRDefault="002A2389">
      <w:pPr>
        <w:pStyle w:val="Heading1"/>
        <w:jc w:val="both"/>
      </w:pPr>
      <w:r>
        <w:lastRenderedPageBreak/>
        <w:t>Section 2 – Report</w:t>
      </w:r>
    </w:p>
    <w:p w:rsidR="002A2389" w:rsidRDefault="002A2389"/>
    <w:p w:rsidR="002A2389" w:rsidRPr="00850561" w:rsidRDefault="00A20CC8">
      <w:pPr>
        <w:pStyle w:val="Heading2"/>
        <w:rPr>
          <w:color w:val="000000"/>
        </w:rPr>
      </w:pPr>
      <w:r w:rsidRPr="00850561">
        <w:rPr>
          <w:color w:val="000000"/>
        </w:rPr>
        <w:t xml:space="preserve">2.1 </w:t>
      </w:r>
      <w:r w:rsidRPr="00850561">
        <w:rPr>
          <w:color w:val="000000"/>
        </w:rPr>
        <w:tab/>
      </w:r>
      <w:r w:rsidR="002A2389" w:rsidRPr="00850561">
        <w:rPr>
          <w:color w:val="000000"/>
        </w:rPr>
        <w:t xml:space="preserve">Background </w:t>
      </w:r>
    </w:p>
    <w:p w:rsidR="00106D0C" w:rsidRDefault="00106D0C" w:rsidP="00106D0C"/>
    <w:p w:rsidR="00106D0C" w:rsidRDefault="00000EDD" w:rsidP="009847DC">
      <w:pPr>
        <w:jc w:val="both"/>
        <w:rPr>
          <w:rFonts w:cs="Arial"/>
        </w:rPr>
      </w:pPr>
      <w:r>
        <w:rPr>
          <w:rFonts w:cs="Arial"/>
        </w:rPr>
        <w:t>Section 18C of T</w:t>
      </w:r>
      <w:r w:rsidR="00106D0C">
        <w:rPr>
          <w:rFonts w:cs="Arial"/>
        </w:rPr>
        <w:t>he Representation of the People Act 1983</w:t>
      </w:r>
      <w:r>
        <w:rPr>
          <w:rFonts w:cs="Arial"/>
        </w:rPr>
        <w:t xml:space="preserve"> (as amended)</w:t>
      </w:r>
      <w:r w:rsidR="005B22A3">
        <w:rPr>
          <w:rFonts w:cs="Arial"/>
        </w:rPr>
        <w:t xml:space="preserve"> </w:t>
      </w:r>
      <w:r w:rsidR="008C7606">
        <w:rPr>
          <w:rFonts w:cs="Arial"/>
        </w:rPr>
        <w:t>and the Electoral Administration Act</w:t>
      </w:r>
      <w:r w:rsidR="00A866DA">
        <w:rPr>
          <w:rFonts w:cs="Arial"/>
        </w:rPr>
        <w:t xml:space="preserve"> 2006</w:t>
      </w:r>
      <w:r w:rsidR="008C7606">
        <w:rPr>
          <w:rFonts w:cs="Arial"/>
        </w:rPr>
        <w:t xml:space="preserve"> </w:t>
      </w:r>
      <w:r w:rsidR="009847DC">
        <w:rPr>
          <w:rFonts w:cs="Arial"/>
        </w:rPr>
        <w:t>requires</w:t>
      </w:r>
      <w:r w:rsidR="00106D0C">
        <w:rPr>
          <w:rFonts w:cs="Arial"/>
        </w:rPr>
        <w:t xml:space="preserve"> the London Borough of Harrow to review its polling district and polling places.  </w:t>
      </w:r>
      <w:r w:rsidR="0067343F">
        <w:rPr>
          <w:rFonts w:cs="Arial"/>
        </w:rPr>
        <w:t>It</w:t>
      </w:r>
      <w:r w:rsidR="00A866DA">
        <w:rPr>
          <w:rFonts w:cs="Arial"/>
        </w:rPr>
        <w:t xml:space="preserve"> also</w:t>
      </w:r>
      <w:r w:rsidR="00106D0C">
        <w:rPr>
          <w:rFonts w:cs="Arial"/>
        </w:rPr>
        <w:t xml:space="preserve"> </w:t>
      </w:r>
      <w:r w:rsidR="005B22A3">
        <w:rPr>
          <w:rFonts w:cs="Arial"/>
        </w:rPr>
        <w:t>provides that as</w:t>
      </w:r>
      <w:r w:rsidR="00106D0C">
        <w:rPr>
          <w:rFonts w:cs="Arial"/>
        </w:rPr>
        <w:t xml:space="preserve"> Harrow undertook its last review in 20</w:t>
      </w:r>
      <w:r w:rsidR="00343EA6">
        <w:rPr>
          <w:rFonts w:cs="Arial"/>
        </w:rPr>
        <w:t>14</w:t>
      </w:r>
      <w:r w:rsidR="005B22A3">
        <w:rPr>
          <w:rFonts w:cs="Arial"/>
        </w:rPr>
        <w:t>, it</w:t>
      </w:r>
      <w:r w:rsidR="00106D0C">
        <w:rPr>
          <w:rFonts w:cs="Arial"/>
        </w:rPr>
        <w:t xml:space="preserve"> must </w:t>
      </w:r>
      <w:r w:rsidR="00343EA6">
        <w:rPr>
          <w:rFonts w:cs="Arial"/>
        </w:rPr>
        <w:t xml:space="preserve">commence and </w:t>
      </w:r>
      <w:r w:rsidR="00106D0C">
        <w:rPr>
          <w:rFonts w:cs="Arial"/>
        </w:rPr>
        <w:t>complete</w:t>
      </w:r>
      <w:r w:rsidR="001843F0">
        <w:rPr>
          <w:rFonts w:cs="Arial"/>
        </w:rPr>
        <w:t xml:space="preserve"> a p</w:t>
      </w:r>
      <w:r w:rsidR="00E96CC2">
        <w:rPr>
          <w:rFonts w:cs="Arial"/>
        </w:rPr>
        <w:t>olling d</w:t>
      </w:r>
      <w:r w:rsidR="00D0515C">
        <w:rPr>
          <w:rFonts w:cs="Arial"/>
        </w:rPr>
        <w:t>istrict</w:t>
      </w:r>
      <w:r w:rsidR="001843F0">
        <w:rPr>
          <w:rFonts w:cs="Arial"/>
        </w:rPr>
        <w:t xml:space="preserve"> and p</w:t>
      </w:r>
      <w:r w:rsidR="00D0515C">
        <w:rPr>
          <w:rFonts w:cs="Arial"/>
        </w:rPr>
        <w:t>olling</w:t>
      </w:r>
      <w:r w:rsidR="001843F0">
        <w:rPr>
          <w:rFonts w:cs="Arial"/>
        </w:rPr>
        <w:t xml:space="preserve"> places r</w:t>
      </w:r>
      <w:r w:rsidR="00D0515C">
        <w:rPr>
          <w:rFonts w:cs="Arial"/>
        </w:rPr>
        <w:t>eview</w:t>
      </w:r>
      <w:r w:rsidR="00106D0C">
        <w:rPr>
          <w:rFonts w:cs="Arial"/>
        </w:rPr>
        <w:t xml:space="preserve"> </w:t>
      </w:r>
      <w:r w:rsidR="00773317">
        <w:rPr>
          <w:rFonts w:cs="Arial"/>
        </w:rPr>
        <w:t>by 31 January 2020</w:t>
      </w:r>
      <w:r w:rsidR="00106D0C">
        <w:rPr>
          <w:rFonts w:cs="Arial"/>
        </w:rPr>
        <w:t>.</w:t>
      </w:r>
    </w:p>
    <w:p w:rsidR="00106D0C" w:rsidRPr="008F74FE" w:rsidRDefault="00106D0C" w:rsidP="009847DC">
      <w:pPr>
        <w:jc w:val="both"/>
        <w:rPr>
          <w:rFonts w:cs="Arial"/>
          <w:color w:val="000000"/>
        </w:rPr>
      </w:pPr>
    </w:p>
    <w:p w:rsidR="00FF1814" w:rsidRDefault="00BF6B11" w:rsidP="009847DC">
      <w:pPr>
        <w:jc w:val="both"/>
        <w:rPr>
          <w:rFonts w:cs="Arial"/>
        </w:rPr>
      </w:pPr>
      <w:r w:rsidRPr="008F74FE">
        <w:rPr>
          <w:rFonts w:cs="Arial"/>
          <w:color w:val="000000"/>
        </w:rPr>
        <w:t xml:space="preserve">The Committee </w:t>
      </w:r>
      <w:r w:rsidR="008A0670" w:rsidRPr="008F74FE">
        <w:rPr>
          <w:rFonts w:cs="Arial"/>
          <w:color w:val="000000"/>
        </w:rPr>
        <w:t xml:space="preserve">will be </w:t>
      </w:r>
      <w:r w:rsidRPr="008F74FE">
        <w:rPr>
          <w:rFonts w:cs="Arial"/>
          <w:color w:val="000000"/>
        </w:rPr>
        <w:t>aware that t</w:t>
      </w:r>
      <w:r w:rsidR="00FF1814" w:rsidRPr="008F74FE">
        <w:rPr>
          <w:rFonts w:cs="Arial"/>
          <w:color w:val="000000"/>
        </w:rPr>
        <w:t>he Local Government Boundary Commission for England (LGBCE) are currently</w:t>
      </w:r>
      <w:r w:rsidR="00A122CE" w:rsidRPr="008F74FE">
        <w:rPr>
          <w:rFonts w:cs="Arial"/>
          <w:color w:val="000000"/>
        </w:rPr>
        <w:t xml:space="preserve"> </w:t>
      </w:r>
      <w:r w:rsidR="008A0670" w:rsidRPr="008F74FE">
        <w:rPr>
          <w:rFonts w:cs="Arial"/>
          <w:color w:val="000000"/>
        </w:rPr>
        <w:t>undertaking an</w:t>
      </w:r>
      <w:r w:rsidR="008A0670">
        <w:rPr>
          <w:rFonts w:cs="Arial"/>
        </w:rPr>
        <w:t xml:space="preserve"> </w:t>
      </w:r>
      <w:r w:rsidR="00A122CE">
        <w:rPr>
          <w:rFonts w:cs="Arial"/>
        </w:rPr>
        <w:t>electoral review of the borough of Harrow</w:t>
      </w:r>
      <w:r w:rsidR="008A0670">
        <w:rPr>
          <w:rFonts w:cs="Arial"/>
        </w:rPr>
        <w:t xml:space="preserve">. </w:t>
      </w:r>
      <w:r w:rsidR="00A122CE">
        <w:rPr>
          <w:rFonts w:cs="Arial"/>
        </w:rPr>
        <w:t xml:space="preserve"> </w:t>
      </w:r>
      <w:r w:rsidR="00AE26CA">
        <w:rPr>
          <w:rFonts w:cs="Arial"/>
        </w:rPr>
        <w:t>T</w:t>
      </w:r>
      <w:r w:rsidR="00052AA0">
        <w:rPr>
          <w:rFonts w:cs="Arial"/>
        </w:rPr>
        <w:t xml:space="preserve">he proposals from the LGBCE </w:t>
      </w:r>
      <w:r w:rsidR="00D278EE">
        <w:rPr>
          <w:rFonts w:cs="Arial"/>
        </w:rPr>
        <w:t>will come into effect</w:t>
      </w:r>
      <w:r w:rsidR="00AE26CA">
        <w:rPr>
          <w:rFonts w:cs="Arial"/>
        </w:rPr>
        <w:t xml:space="preserve"> for the Local Elections in May 2022</w:t>
      </w:r>
      <w:r w:rsidR="00D278EE">
        <w:rPr>
          <w:rFonts w:cs="Arial"/>
        </w:rPr>
        <w:t xml:space="preserve"> and once </w:t>
      </w:r>
      <w:r w:rsidR="008A0670">
        <w:rPr>
          <w:rFonts w:cs="Arial"/>
        </w:rPr>
        <w:t xml:space="preserve">approved </w:t>
      </w:r>
      <w:r w:rsidR="00052AA0">
        <w:rPr>
          <w:rFonts w:cs="Arial"/>
        </w:rPr>
        <w:t xml:space="preserve">a further </w:t>
      </w:r>
      <w:r w:rsidR="00916B11">
        <w:rPr>
          <w:rFonts w:cs="Arial"/>
        </w:rPr>
        <w:t>polling district r</w:t>
      </w:r>
      <w:r w:rsidR="00052AA0">
        <w:rPr>
          <w:rFonts w:cs="Arial"/>
        </w:rPr>
        <w:t>eview will be required.</w:t>
      </w:r>
      <w:r w:rsidR="008A0670" w:rsidRPr="008A0670">
        <w:rPr>
          <w:rFonts w:cs="Arial"/>
        </w:rPr>
        <w:t xml:space="preserve"> </w:t>
      </w:r>
      <w:r w:rsidR="00D278EE">
        <w:rPr>
          <w:rFonts w:cs="Arial"/>
        </w:rPr>
        <w:t xml:space="preserve">In the meantime and in accordance with </w:t>
      </w:r>
      <w:r w:rsidR="008A0670">
        <w:rPr>
          <w:rFonts w:cs="Arial"/>
        </w:rPr>
        <w:t>the legislation, a polling district review is required to be held for the current arrangements</w:t>
      </w:r>
      <w:r w:rsidR="00AE26CA">
        <w:rPr>
          <w:rFonts w:cs="Arial"/>
        </w:rPr>
        <w:t>.</w:t>
      </w:r>
    </w:p>
    <w:p w:rsidR="00106D0C" w:rsidRDefault="00106D0C" w:rsidP="00106D0C">
      <w:pPr>
        <w:rPr>
          <w:rFonts w:cs="Arial"/>
        </w:rPr>
      </w:pPr>
    </w:p>
    <w:p w:rsidR="00106D0C" w:rsidRDefault="00106D0C" w:rsidP="00106D0C">
      <w:pPr>
        <w:rPr>
          <w:rFonts w:cs="Arial"/>
        </w:rPr>
      </w:pPr>
    </w:p>
    <w:p w:rsidR="00106D0C" w:rsidRPr="00A06BD4" w:rsidRDefault="008C5AD0" w:rsidP="00106D0C">
      <w:pPr>
        <w:rPr>
          <w:rFonts w:cs="Arial"/>
          <w:b/>
          <w:sz w:val="28"/>
          <w:szCs w:val="28"/>
        </w:rPr>
      </w:pPr>
      <w:r>
        <w:rPr>
          <w:rFonts w:cs="Arial"/>
          <w:b/>
          <w:sz w:val="28"/>
          <w:szCs w:val="28"/>
        </w:rPr>
        <w:t>2.2</w:t>
      </w:r>
      <w:r w:rsidR="00106D0C">
        <w:rPr>
          <w:rFonts w:cs="Arial"/>
          <w:b/>
          <w:sz w:val="28"/>
          <w:szCs w:val="28"/>
        </w:rPr>
        <w:tab/>
      </w:r>
      <w:r w:rsidR="00106D0C" w:rsidRPr="00A06BD4">
        <w:rPr>
          <w:rFonts w:cs="Arial"/>
          <w:b/>
          <w:sz w:val="28"/>
          <w:szCs w:val="28"/>
        </w:rPr>
        <w:t>The Review</w:t>
      </w:r>
    </w:p>
    <w:p w:rsidR="00106D0C" w:rsidRDefault="00106D0C" w:rsidP="00106D0C">
      <w:pPr>
        <w:rPr>
          <w:rFonts w:cs="Arial"/>
        </w:rPr>
      </w:pPr>
    </w:p>
    <w:p w:rsidR="00106D0C" w:rsidRDefault="00106D0C" w:rsidP="00A82895">
      <w:pPr>
        <w:jc w:val="both"/>
        <w:rPr>
          <w:rFonts w:cs="Arial"/>
        </w:rPr>
      </w:pPr>
      <w:r>
        <w:rPr>
          <w:rFonts w:cs="Arial"/>
        </w:rPr>
        <w:t>The purpose of the review is to ensure that:</w:t>
      </w:r>
    </w:p>
    <w:p w:rsidR="00106D0C" w:rsidRDefault="00106D0C" w:rsidP="00A82895">
      <w:pPr>
        <w:jc w:val="both"/>
        <w:rPr>
          <w:rFonts w:cs="Arial"/>
        </w:rPr>
      </w:pPr>
    </w:p>
    <w:p w:rsidR="00106D0C" w:rsidRDefault="00106D0C" w:rsidP="00A82895">
      <w:pPr>
        <w:numPr>
          <w:ilvl w:val="0"/>
          <w:numId w:val="10"/>
        </w:numPr>
        <w:tabs>
          <w:tab w:val="clear" w:pos="720"/>
          <w:tab w:val="num" w:pos="1122"/>
        </w:tabs>
        <w:ind w:left="1122" w:hanging="762"/>
        <w:jc w:val="both"/>
        <w:rPr>
          <w:rFonts w:cs="Arial"/>
        </w:rPr>
      </w:pPr>
      <w:r>
        <w:rPr>
          <w:rFonts w:cs="Arial"/>
        </w:rPr>
        <w:t xml:space="preserve">All electors have reasonable facilities for voting as are practicable in the circumstances; and </w:t>
      </w:r>
    </w:p>
    <w:p w:rsidR="00106D0C" w:rsidRDefault="00106D0C" w:rsidP="00A82895">
      <w:pPr>
        <w:ind w:left="360"/>
        <w:jc w:val="both"/>
        <w:rPr>
          <w:rFonts w:cs="Arial"/>
        </w:rPr>
      </w:pPr>
    </w:p>
    <w:p w:rsidR="00106D0C" w:rsidRDefault="00106D0C" w:rsidP="00A82895">
      <w:pPr>
        <w:numPr>
          <w:ilvl w:val="0"/>
          <w:numId w:val="10"/>
        </w:numPr>
        <w:tabs>
          <w:tab w:val="clear" w:pos="720"/>
          <w:tab w:val="num" w:pos="1122"/>
        </w:tabs>
        <w:ind w:left="1122" w:hanging="748"/>
        <w:jc w:val="both"/>
        <w:rPr>
          <w:rFonts w:cs="Arial"/>
        </w:rPr>
      </w:pPr>
      <w:r>
        <w:rPr>
          <w:rFonts w:cs="Arial"/>
        </w:rPr>
        <w:t>So far as is reasonable and practicable that the polling places are accessible to all electors (including disabled persons) having regard to the accessibility needs of disabled persons.</w:t>
      </w:r>
    </w:p>
    <w:p w:rsidR="00106D0C" w:rsidRDefault="00106D0C" w:rsidP="00A82895">
      <w:pPr>
        <w:ind w:left="1122" w:hanging="748"/>
        <w:jc w:val="both"/>
        <w:rPr>
          <w:rFonts w:cs="Arial"/>
        </w:rPr>
      </w:pPr>
    </w:p>
    <w:p w:rsidR="00106D0C" w:rsidRDefault="00106D0C" w:rsidP="00A82895">
      <w:pPr>
        <w:ind w:left="1122" w:hanging="748"/>
        <w:jc w:val="both"/>
        <w:rPr>
          <w:rFonts w:cs="Arial"/>
        </w:rPr>
      </w:pPr>
    </w:p>
    <w:p w:rsidR="00106D0C" w:rsidRDefault="00106D0C" w:rsidP="00A82895">
      <w:pPr>
        <w:jc w:val="both"/>
        <w:rPr>
          <w:rFonts w:cs="Arial"/>
        </w:rPr>
      </w:pPr>
      <w:r>
        <w:rPr>
          <w:rFonts w:cs="Arial"/>
        </w:rPr>
        <w:t>In undertaking the review:</w:t>
      </w:r>
    </w:p>
    <w:p w:rsidR="00106D0C" w:rsidRDefault="00106D0C" w:rsidP="00A82895">
      <w:pPr>
        <w:jc w:val="both"/>
        <w:rPr>
          <w:rFonts w:cs="Arial"/>
        </w:rPr>
      </w:pPr>
    </w:p>
    <w:p w:rsidR="00106D0C" w:rsidRDefault="00106D0C" w:rsidP="00A82895">
      <w:pPr>
        <w:numPr>
          <w:ilvl w:val="0"/>
          <w:numId w:val="9"/>
        </w:numPr>
        <w:jc w:val="both"/>
        <w:rPr>
          <w:rFonts w:cs="Arial"/>
        </w:rPr>
      </w:pPr>
      <w:r>
        <w:rPr>
          <w:rFonts w:cs="Arial"/>
        </w:rPr>
        <w:lastRenderedPageBreak/>
        <w:t>A notice of the holding of the review must be published;</w:t>
      </w:r>
    </w:p>
    <w:p w:rsidR="00106D0C" w:rsidRDefault="00106D0C" w:rsidP="00A82895">
      <w:pPr>
        <w:jc w:val="both"/>
        <w:rPr>
          <w:rFonts w:cs="Arial"/>
        </w:rPr>
      </w:pPr>
    </w:p>
    <w:p w:rsidR="00106D0C" w:rsidRDefault="008122EE" w:rsidP="00A82895">
      <w:pPr>
        <w:numPr>
          <w:ilvl w:val="0"/>
          <w:numId w:val="9"/>
        </w:numPr>
        <w:jc w:val="both"/>
        <w:rPr>
          <w:rFonts w:cs="Arial"/>
        </w:rPr>
      </w:pPr>
      <w:r>
        <w:rPr>
          <w:rFonts w:cs="Arial"/>
        </w:rPr>
        <w:t xml:space="preserve">The authority must consult the </w:t>
      </w:r>
      <w:r w:rsidR="00106D0C">
        <w:rPr>
          <w:rFonts w:cs="Arial"/>
        </w:rPr>
        <w:t>Returning Officer for every parliamentary election held in a constituency that is wholly or partly within its area;</w:t>
      </w:r>
    </w:p>
    <w:p w:rsidR="00106D0C" w:rsidRDefault="00106D0C" w:rsidP="00A82895">
      <w:pPr>
        <w:jc w:val="both"/>
        <w:rPr>
          <w:rFonts w:cs="Arial"/>
        </w:rPr>
      </w:pPr>
    </w:p>
    <w:p w:rsidR="00106D0C" w:rsidRDefault="00106D0C" w:rsidP="00A82895">
      <w:pPr>
        <w:numPr>
          <w:ilvl w:val="0"/>
          <w:numId w:val="9"/>
        </w:numPr>
        <w:jc w:val="both"/>
        <w:rPr>
          <w:rFonts w:cs="Arial"/>
        </w:rPr>
      </w:pPr>
      <w:r>
        <w:rPr>
          <w:rFonts w:cs="Arial"/>
        </w:rPr>
        <w:t>The Returning Officer must make representations to the authority as to the location of existing and proposed polling stations within existing and proposed polling places;</w:t>
      </w:r>
    </w:p>
    <w:p w:rsidR="00106D0C" w:rsidRDefault="00106D0C" w:rsidP="00A82895">
      <w:pPr>
        <w:jc w:val="both"/>
        <w:rPr>
          <w:rFonts w:cs="Arial"/>
        </w:rPr>
      </w:pPr>
    </w:p>
    <w:p w:rsidR="00106D0C" w:rsidRDefault="00106D0C" w:rsidP="00A82895">
      <w:pPr>
        <w:numPr>
          <w:ilvl w:val="0"/>
          <w:numId w:val="9"/>
        </w:numPr>
        <w:jc w:val="both"/>
        <w:rPr>
          <w:rFonts w:cs="Arial"/>
        </w:rPr>
      </w:pPr>
      <w:r>
        <w:rPr>
          <w:rFonts w:cs="Arial"/>
        </w:rPr>
        <w:t>The Returning Officer’s representations must be published 30 days after receipt;</w:t>
      </w:r>
    </w:p>
    <w:p w:rsidR="00106D0C" w:rsidRDefault="00106D0C" w:rsidP="00A82895">
      <w:pPr>
        <w:ind w:left="360"/>
        <w:jc w:val="both"/>
        <w:rPr>
          <w:rFonts w:cs="Arial"/>
        </w:rPr>
      </w:pPr>
    </w:p>
    <w:p w:rsidR="00106D0C" w:rsidRDefault="00106D0C" w:rsidP="00A82895">
      <w:pPr>
        <w:numPr>
          <w:ilvl w:val="0"/>
          <w:numId w:val="9"/>
        </w:numPr>
        <w:jc w:val="both"/>
        <w:rPr>
          <w:rFonts w:cs="Arial"/>
        </w:rPr>
      </w:pPr>
      <w:r>
        <w:rPr>
          <w:rFonts w:cs="Arial"/>
        </w:rPr>
        <w:t>The authority must seek representations and comments on the Returning Officer’s representations from:</w:t>
      </w:r>
    </w:p>
    <w:p w:rsidR="00106D0C" w:rsidRDefault="00106D0C" w:rsidP="00A82895">
      <w:pPr>
        <w:ind w:left="360"/>
        <w:jc w:val="both"/>
        <w:rPr>
          <w:rFonts w:cs="Arial"/>
        </w:rPr>
      </w:pPr>
    </w:p>
    <w:p w:rsidR="00106D0C" w:rsidRDefault="00106D0C" w:rsidP="00A82895">
      <w:pPr>
        <w:numPr>
          <w:ilvl w:val="1"/>
          <w:numId w:val="9"/>
        </w:numPr>
        <w:jc w:val="both"/>
        <w:rPr>
          <w:rFonts w:cs="Arial"/>
        </w:rPr>
      </w:pPr>
      <w:r>
        <w:rPr>
          <w:rFonts w:cs="Arial"/>
        </w:rPr>
        <w:t>Persons with expertise in relation to access to premises and facilities for persons with different forms of disability; and</w:t>
      </w:r>
    </w:p>
    <w:p w:rsidR="00106D0C" w:rsidRDefault="00106D0C" w:rsidP="00A82895">
      <w:pPr>
        <w:ind w:left="1080"/>
        <w:jc w:val="both"/>
        <w:rPr>
          <w:rFonts w:cs="Arial"/>
        </w:rPr>
      </w:pPr>
    </w:p>
    <w:p w:rsidR="00106D0C" w:rsidRDefault="00106D0C" w:rsidP="00A82895">
      <w:pPr>
        <w:numPr>
          <w:ilvl w:val="1"/>
          <w:numId w:val="9"/>
        </w:numPr>
        <w:jc w:val="both"/>
        <w:rPr>
          <w:rFonts w:cs="Arial"/>
        </w:rPr>
      </w:pPr>
      <w:r>
        <w:rPr>
          <w:rFonts w:cs="Arial"/>
        </w:rPr>
        <w:t>Any elector;</w:t>
      </w:r>
    </w:p>
    <w:p w:rsidR="00106D0C" w:rsidRDefault="00106D0C" w:rsidP="00A82895">
      <w:pPr>
        <w:jc w:val="both"/>
        <w:rPr>
          <w:rFonts w:cs="Arial"/>
        </w:rPr>
      </w:pPr>
    </w:p>
    <w:p w:rsidR="00106D0C" w:rsidRDefault="00106D0C" w:rsidP="00A82895">
      <w:pPr>
        <w:numPr>
          <w:ilvl w:val="0"/>
          <w:numId w:val="9"/>
        </w:numPr>
        <w:jc w:val="both"/>
        <w:rPr>
          <w:rFonts w:cs="Arial"/>
        </w:rPr>
      </w:pPr>
      <w:r>
        <w:rPr>
          <w:rFonts w:cs="Arial"/>
        </w:rPr>
        <w:t>On completion of the review the authority must:</w:t>
      </w:r>
    </w:p>
    <w:p w:rsidR="00106D0C" w:rsidRDefault="00106D0C" w:rsidP="00A82895">
      <w:pPr>
        <w:ind w:left="360"/>
        <w:jc w:val="both"/>
        <w:rPr>
          <w:rFonts w:cs="Arial"/>
        </w:rPr>
      </w:pPr>
    </w:p>
    <w:p w:rsidR="00106D0C" w:rsidRDefault="00106D0C" w:rsidP="00A82895">
      <w:pPr>
        <w:numPr>
          <w:ilvl w:val="1"/>
          <w:numId w:val="9"/>
        </w:numPr>
        <w:jc w:val="both"/>
        <w:rPr>
          <w:rFonts w:cs="Arial"/>
        </w:rPr>
      </w:pPr>
      <w:r>
        <w:rPr>
          <w:rFonts w:cs="Arial"/>
        </w:rPr>
        <w:t xml:space="preserve"> Give reasons for its decisions in the review; and</w:t>
      </w:r>
    </w:p>
    <w:p w:rsidR="00106D0C" w:rsidRDefault="00106D0C" w:rsidP="00A82895">
      <w:pPr>
        <w:ind w:left="1080"/>
        <w:jc w:val="both"/>
        <w:rPr>
          <w:rFonts w:cs="Arial"/>
        </w:rPr>
      </w:pPr>
    </w:p>
    <w:p w:rsidR="00106D0C" w:rsidRDefault="00106D0C" w:rsidP="00A82895">
      <w:pPr>
        <w:numPr>
          <w:ilvl w:val="1"/>
          <w:numId w:val="9"/>
        </w:numPr>
        <w:jc w:val="both"/>
        <w:rPr>
          <w:rFonts w:cs="Arial"/>
        </w:rPr>
      </w:pPr>
      <w:r>
        <w:rPr>
          <w:rFonts w:cs="Arial"/>
        </w:rPr>
        <w:t xml:space="preserve"> Publish such information.</w:t>
      </w:r>
    </w:p>
    <w:p w:rsidR="00106D0C" w:rsidRDefault="00106D0C" w:rsidP="00A82895">
      <w:pPr>
        <w:ind w:left="1080"/>
        <w:jc w:val="both"/>
        <w:rPr>
          <w:rFonts w:cs="Arial"/>
        </w:rPr>
      </w:pPr>
    </w:p>
    <w:p w:rsidR="000722D2" w:rsidRDefault="000722D2" w:rsidP="00A82895">
      <w:pPr>
        <w:jc w:val="both"/>
        <w:rPr>
          <w:rFonts w:cs="Arial"/>
        </w:rPr>
      </w:pPr>
    </w:p>
    <w:p w:rsidR="00025AF0" w:rsidRPr="00025AF0" w:rsidRDefault="00025AF0" w:rsidP="00A82895">
      <w:pPr>
        <w:jc w:val="both"/>
        <w:rPr>
          <w:rFonts w:cs="Arial"/>
          <w:b/>
          <w:sz w:val="28"/>
          <w:szCs w:val="28"/>
        </w:rPr>
      </w:pPr>
      <w:r w:rsidRPr="00025AF0">
        <w:rPr>
          <w:rFonts w:cs="Arial"/>
          <w:b/>
          <w:sz w:val="28"/>
          <w:szCs w:val="28"/>
        </w:rPr>
        <w:t>2.3</w:t>
      </w:r>
      <w:r w:rsidRPr="00025AF0">
        <w:rPr>
          <w:rFonts w:cs="Arial"/>
          <w:b/>
          <w:sz w:val="28"/>
          <w:szCs w:val="28"/>
        </w:rPr>
        <w:tab/>
        <w:t>Proposal</w:t>
      </w:r>
    </w:p>
    <w:p w:rsidR="00025AF0" w:rsidRDefault="00025AF0" w:rsidP="00A82895">
      <w:pPr>
        <w:jc w:val="both"/>
        <w:rPr>
          <w:rFonts w:cs="Arial"/>
        </w:rPr>
      </w:pPr>
    </w:p>
    <w:p w:rsidR="00106D0C" w:rsidRDefault="00106D0C" w:rsidP="00A82895">
      <w:pPr>
        <w:jc w:val="both"/>
        <w:rPr>
          <w:rFonts w:cs="Arial"/>
        </w:rPr>
      </w:pPr>
      <w:r>
        <w:rPr>
          <w:rFonts w:cs="Arial"/>
        </w:rPr>
        <w:t>This Committee has the following responsibilities:</w:t>
      </w:r>
    </w:p>
    <w:p w:rsidR="00106D0C" w:rsidRDefault="00106D0C" w:rsidP="00A82895">
      <w:pPr>
        <w:jc w:val="both"/>
        <w:rPr>
          <w:rFonts w:cs="Arial"/>
        </w:rPr>
      </w:pPr>
    </w:p>
    <w:p w:rsidR="00106D0C" w:rsidRDefault="00106D0C" w:rsidP="00EC325C">
      <w:pPr>
        <w:ind w:left="284"/>
        <w:jc w:val="both"/>
        <w:rPr>
          <w:rFonts w:cs="Arial"/>
        </w:rPr>
      </w:pPr>
      <w:r>
        <w:rPr>
          <w:rFonts w:cs="Arial"/>
        </w:rPr>
        <w:t>“To keep under review and to determine the arrangement for the holding of elections and any referendums within the Borough and to initiate or respond to any proposal to the change of ward, constituency or Borough boundaries”</w:t>
      </w:r>
    </w:p>
    <w:p w:rsidR="00106D0C" w:rsidRDefault="00106D0C" w:rsidP="00A82895">
      <w:pPr>
        <w:jc w:val="both"/>
        <w:rPr>
          <w:rFonts w:cs="Arial"/>
        </w:rPr>
      </w:pPr>
    </w:p>
    <w:p w:rsidR="00D278EE" w:rsidRPr="008F74FE" w:rsidRDefault="00D278EE" w:rsidP="00D278EE">
      <w:pPr>
        <w:jc w:val="both"/>
        <w:rPr>
          <w:rFonts w:cs="Arial"/>
          <w:color w:val="000000"/>
        </w:rPr>
      </w:pPr>
      <w:r w:rsidRPr="008F74FE">
        <w:rPr>
          <w:rFonts w:cs="Arial"/>
          <w:color w:val="000000"/>
        </w:rPr>
        <w:t xml:space="preserve">Based on previous reviews it is proposed that this should be undertaken by a cross-party Working Group with a membership of 5 (3 Labour, 2 Conservative).  The members to be nominated by the Group Leaders. </w:t>
      </w:r>
    </w:p>
    <w:p w:rsidR="00DC2D09" w:rsidRDefault="00DC2D09" w:rsidP="00A82895">
      <w:pPr>
        <w:jc w:val="both"/>
        <w:rPr>
          <w:rFonts w:cs="Arial"/>
        </w:rPr>
      </w:pPr>
    </w:p>
    <w:p w:rsidR="00B44D43" w:rsidRDefault="00176C63" w:rsidP="00A82895">
      <w:pPr>
        <w:pStyle w:val="BodyText2"/>
        <w:spacing w:after="0" w:line="240" w:lineRule="auto"/>
        <w:jc w:val="both"/>
      </w:pPr>
      <w:r>
        <w:t xml:space="preserve">The proposed terms of reference for the Review Working Group is set out in Appendix 1. </w:t>
      </w:r>
      <w:r w:rsidR="00106D0C">
        <w:t>The conclusions of the Review Working Group would</w:t>
      </w:r>
      <w:r w:rsidR="00D77ADD">
        <w:t xml:space="preserve"> </w:t>
      </w:r>
      <w:r w:rsidR="00106D0C">
        <w:t xml:space="preserve">be reported </w:t>
      </w:r>
      <w:r w:rsidR="00D77ADD">
        <w:t>back to the</w:t>
      </w:r>
      <w:r w:rsidR="00106D0C">
        <w:t xml:space="preserve"> Committee for approval.  </w:t>
      </w:r>
    </w:p>
    <w:p w:rsidR="00894302" w:rsidRDefault="00894302" w:rsidP="00A82895">
      <w:pPr>
        <w:pStyle w:val="BodyText"/>
        <w:jc w:val="both"/>
        <w:rPr>
          <w:i w:val="0"/>
          <w:iCs w:val="0"/>
        </w:rPr>
      </w:pPr>
    </w:p>
    <w:p w:rsidR="00B92CBE" w:rsidRDefault="00B92CBE" w:rsidP="00A82895">
      <w:pPr>
        <w:pStyle w:val="BodyText"/>
        <w:jc w:val="both"/>
        <w:rPr>
          <w:i w:val="0"/>
          <w:iCs w:val="0"/>
        </w:rPr>
      </w:pPr>
    </w:p>
    <w:p w:rsidR="00B92CBE" w:rsidRDefault="00B92CBE" w:rsidP="00A82895">
      <w:pPr>
        <w:pStyle w:val="BodyText"/>
        <w:jc w:val="both"/>
        <w:rPr>
          <w:i w:val="0"/>
          <w:iCs w:val="0"/>
        </w:rPr>
      </w:pPr>
    </w:p>
    <w:p w:rsidR="00B92CBE" w:rsidRDefault="00B92CBE" w:rsidP="00A82895">
      <w:pPr>
        <w:pStyle w:val="BodyText"/>
        <w:jc w:val="both"/>
        <w:rPr>
          <w:i w:val="0"/>
          <w:iCs w:val="0"/>
        </w:rPr>
      </w:pPr>
    </w:p>
    <w:p w:rsidR="00B92CBE" w:rsidRDefault="00B92CBE" w:rsidP="00A82895">
      <w:pPr>
        <w:pStyle w:val="BodyText"/>
        <w:jc w:val="both"/>
        <w:rPr>
          <w:i w:val="0"/>
          <w:iCs w:val="0"/>
        </w:rPr>
      </w:pPr>
    </w:p>
    <w:p w:rsidR="00EC325C" w:rsidRDefault="00EC325C" w:rsidP="00A82895">
      <w:pPr>
        <w:pStyle w:val="BodyText"/>
        <w:jc w:val="both"/>
        <w:rPr>
          <w:i w:val="0"/>
          <w:iCs w:val="0"/>
        </w:rPr>
      </w:pPr>
    </w:p>
    <w:p w:rsidR="00EC325C" w:rsidRDefault="00EC325C" w:rsidP="00A82895">
      <w:pPr>
        <w:pStyle w:val="BodyText"/>
        <w:jc w:val="both"/>
        <w:rPr>
          <w:i w:val="0"/>
          <w:iCs w:val="0"/>
        </w:rPr>
      </w:pPr>
    </w:p>
    <w:p w:rsidR="00B92CBE" w:rsidRDefault="00B92CBE" w:rsidP="00A82895">
      <w:pPr>
        <w:pStyle w:val="BodyText"/>
        <w:jc w:val="both"/>
        <w:rPr>
          <w:i w:val="0"/>
          <w:iCs w:val="0"/>
        </w:rPr>
      </w:pPr>
    </w:p>
    <w:p w:rsidR="00025AF0" w:rsidRDefault="00025AF0" w:rsidP="00B56728">
      <w:pPr>
        <w:pStyle w:val="BodyText2"/>
        <w:spacing w:after="0" w:line="240" w:lineRule="auto"/>
      </w:pPr>
    </w:p>
    <w:p w:rsidR="00025AF0" w:rsidRPr="00025AF0" w:rsidRDefault="00BD70DB" w:rsidP="00B56728">
      <w:pPr>
        <w:pStyle w:val="BodyText2"/>
        <w:spacing w:after="0" w:line="240" w:lineRule="auto"/>
        <w:rPr>
          <w:b/>
          <w:sz w:val="28"/>
          <w:szCs w:val="28"/>
        </w:rPr>
      </w:pPr>
      <w:r>
        <w:rPr>
          <w:b/>
          <w:sz w:val="28"/>
          <w:szCs w:val="28"/>
        </w:rPr>
        <w:lastRenderedPageBreak/>
        <w:t>2.4</w:t>
      </w:r>
      <w:r w:rsidR="00025AF0" w:rsidRPr="00025AF0">
        <w:rPr>
          <w:b/>
          <w:sz w:val="28"/>
          <w:szCs w:val="28"/>
        </w:rPr>
        <w:t xml:space="preserve"> </w:t>
      </w:r>
      <w:r w:rsidR="00025AF0" w:rsidRPr="00025AF0">
        <w:rPr>
          <w:b/>
          <w:sz w:val="28"/>
          <w:szCs w:val="28"/>
        </w:rPr>
        <w:tab/>
        <w:t>Timetable</w:t>
      </w:r>
    </w:p>
    <w:p w:rsidR="00025AF0" w:rsidRDefault="00025AF0" w:rsidP="00B56728">
      <w:pPr>
        <w:pStyle w:val="BodyText2"/>
        <w:spacing w:after="0" w:line="240" w:lineRule="auto"/>
      </w:pPr>
    </w:p>
    <w:p w:rsidR="00B56728" w:rsidRDefault="00B56728" w:rsidP="00B56728">
      <w:pPr>
        <w:pStyle w:val="BodyText2"/>
        <w:spacing w:after="0" w:line="240" w:lineRule="auto"/>
      </w:pPr>
      <w:r>
        <w:t xml:space="preserve">The </w:t>
      </w:r>
      <w:r w:rsidR="00894302">
        <w:t xml:space="preserve">draft </w:t>
      </w:r>
      <w:r>
        <w:t>timetable relating to the review is as follows:</w:t>
      </w:r>
    </w:p>
    <w:p w:rsidR="00B56728" w:rsidRDefault="00B56728" w:rsidP="00B56728">
      <w:pPr>
        <w:pStyle w:val="BodyText2"/>
        <w:spacing w:after="0" w:line="240" w:lineRule="auto"/>
      </w:pPr>
    </w:p>
    <w:p w:rsidR="00B56728" w:rsidRPr="00C412AD" w:rsidRDefault="00B56728" w:rsidP="00B56728">
      <w:pPr>
        <w:rPr>
          <w:rFonts w:cs="Arial"/>
          <w:sz w:val="18"/>
          <w:szCs w:val="18"/>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5156"/>
      </w:tblGrid>
      <w:tr w:rsidR="00B56728" w:rsidRPr="00C412AD" w:rsidTr="007072E3">
        <w:tc>
          <w:tcPr>
            <w:tcW w:w="3074" w:type="dxa"/>
            <w:vAlign w:val="center"/>
          </w:tcPr>
          <w:p w:rsidR="00B56728" w:rsidRPr="00C412AD" w:rsidRDefault="007072E3" w:rsidP="00570A7B">
            <w:pPr>
              <w:rPr>
                <w:rFonts w:cs="Arial"/>
                <w:szCs w:val="24"/>
              </w:rPr>
            </w:pPr>
            <w:r>
              <w:rPr>
                <w:rFonts w:cs="Arial"/>
                <w:szCs w:val="24"/>
              </w:rPr>
              <w:t xml:space="preserve">February/March </w:t>
            </w:r>
            <w:r w:rsidR="00094FCF">
              <w:rPr>
                <w:rFonts w:cs="Arial"/>
                <w:szCs w:val="24"/>
              </w:rPr>
              <w:t>2019</w:t>
            </w:r>
          </w:p>
        </w:tc>
        <w:tc>
          <w:tcPr>
            <w:tcW w:w="5156" w:type="dxa"/>
            <w:vAlign w:val="center"/>
          </w:tcPr>
          <w:p w:rsidR="00B56728" w:rsidRPr="00C412AD" w:rsidRDefault="00B56728" w:rsidP="00570A7B">
            <w:pPr>
              <w:pStyle w:val="BodyTextIndent"/>
              <w:spacing w:after="0"/>
              <w:ind w:left="0"/>
              <w:rPr>
                <w:rFonts w:cs="Arial"/>
                <w:szCs w:val="24"/>
              </w:rPr>
            </w:pPr>
          </w:p>
          <w:p w:rsidR="00B56728" w:rsidRPr="00C412AD" w:rsidRDefault="00B56728" w:rsidP="00570A7B">
            <w:pPr>
              <w:pStyle w:val="BodyTextIndent"/>
              <w:spacing w:after="0"/>
              <w:ind w:left="0"/>
              <w:rPr>
                <w:rFonts w:cs="Arial"/>
                <w:szCs w:val="24"/>
              </w:rPr>
            </w:pPr>
            <w:r w:rsidRPr="00C412AD">
              <w:rPr>
                <w:rFonts w:cs="Arial"/>
                <w:szCs w:val="24"/>
              </w:rPr>
              <w:t>Notice of Review</w:t>
            </w:r>
          </w:p>
          <w:p w:rsidR="00B56728" w:rsidRPr="00C412AD" w:rsidRDefault="00B56728" w:rsidP="00570A7B">
            <w:pPr>
              <w:pStyle w:val="BodyTextIndent"/>
              <w:spacing w:after="0"/>
              <w:ind w:left="0"/>
              <w:rPr>
                <w:rFonts w:cs="Arial"/>
                <w:szCs w:val="24"/>
              </w:rPr>
            </w:pPr>
          </w:p>
        </w:tc>
      </w:tr>
      <w:tr w:rsidR="00B56728" w:rsidRPr="00C412AD" w:rsidTr="007072E3">
        <w:tc>
          <w:tcPr>
            <w:tcW w:w="3074" w:type="dxa"/>
            <w:vAlign w:val="center"/>
          </w:tcPr>
          <w:p w:rsidR="00B56728" w:rsidRPr="00C412AD" w:rsidRDefault="00894302" w:rsidP="00570A7B">
            <w:pPr>
              <w:rPr>
                <w:rFonts w:cs="Arial"/>
                <w:szCs w:val="24"/>
              </w:rPr>
            </w:pPr>
            <w:r>
              <w:rPr>
                <w:rFonts w:cs="Arial"/>
                <w:szCs w:val="24"/>
              </w:rPr>
              <w:t>April</w:t>
            </w:r>
            <w:r w:rsidR="007072E3">
              <w:rPr>
                <w:rFonts w:cs="Arial"/>
                <w:szCs w:val="24"/>
              </w:rPr>
              <w:t>-May</w:t>
            </w:r>
            <w:r>
              <w:rPr>
                <w:rFonts w:cs="Arial"/>
                <w:szCs w:val="24"/>
              </w:rPr>
              <w:t xml:space="preserve"> </w:t>
            </w:r>
            <w:r w:rsidR="00094FCF">
              <w:rPr>
                <w:rFonts w:cs="Arial"/>
                <w:szCs w:val="24"/>
              </w:rPr>
              <w:t>2019</w:t>
            </w:r>
          </w:p>
        </w:tc>
        <w:tc>
          <w:tcPr>
            <w:tcW w:w="5156" w:type="dxa"/>
            <w:vAlign w:val="center"/>
          </w:tcPr>
          <w:p w:rsidR="00B56728" w:rsidRPr="00C412AD" w:rsidRDefault="00B56728" w:rsidP="00570A7B">
            <w:pPr>
              <w:rPr>
                <w:rFonts w:cs="Arial"/>
                <w:szCs w:val="24"/>
              </w:rPr>
            </w:pPr>
          </w:p>
          <w:p w:rsidR="00B56728" w:rsidRPr="00C412AD" w:rsidRDefault="00B56728" w:rsidP="00570A7B">
            <w:pPr>
              <w:rPr>
                <w:rFonts w:cs="Arial"/>
                <w:szCs w:val="24"/>
              </w:rPr>
            </w:pPr>
            <w:r w:rsidRPr="00C412AD">
              <w:rPr>
                <w:rFonts w:cs="Arial"/>
                <w:szCs w:val="24"/>
              </w:rPr>
              <w:t>End of Consultation</w:t>
            </w:r>
          </w:p>
          <w:p w:rsidR="00B56728" w:rsidRPr="00C412AD" w:rsidRDefault="00B56728" w:rsidP="00570A7B">
            <w:pPr>
              <w:rPr>
                <w:rFonts w:cs="Arial"/>
                <w:szCs w:val="24"/>
              </w:rPr>
            </w:pPr>
          </w:p>
        </w:tc>
      </w:tr>
      <w:tr w:rsidR="00B56728" w:rsidRPr="00C412AD" w:rsidTr="007072E3">
        <w:tc>
          <w:tcPr>
            <w:tcW w:w="3074" w:type="dxa"/>
            <w:vAlign w:val="center"/>
          </w:tcPr>
          <w:p w:rsidR="00B56728" w:rsidRPr="00C412AD" w:rsidRDefault="00894302" w:rsidP="00570A7B">
            <w:pPr>
              <w:rPr>
                <w:rFonts w:cs="Arial"/>
                <w:szCs w:val="24"/>
              </w:rPr>
            </w:pPr>
            <w:r>
              <w:rPr>
                <w:rFonts w:cs="Arial"/>
                <w:szCs w:val="24"/>
              </w:rPr>
              <w:t>May</w:t>
            </w:r>
            <w:r w:rsidR="007072E3">
              <w:rPr>
                <w:rFonts w:cs="Arial"/>
                <w:szCs w:val="24"/>
              </w:rPr>
              <w:t>-June</w:t>
            </w:r>
            <w:r w:rsidR="00094FCF">
              <w:rPr>
                <w:rFonts w:cs="Arial"/>
                <w:szCs w:val="24"/>
              </w:rPr>
              <w:t xml:space="preserve"> 2019</w:t>
            </w:r>
          </w:p>
        </w:tc>
        <w:tc>
          <w:tcPr>
            <w:tcW w:w="5156" w:type="dxa"/>
            <w:vAlign w:val="center"/>
          </w:tcPr>
          <w:p w:rsidR="00B56728" w:rsidRDefault="00B56728" w:rsidP="00570A7B">
            <w:pPr>
              <w:rPr>
                <w:rFonts w:cs="Arial"/>
                <w:szCs w:val="24"/>
              </w:rPr>
            </w:pPr>
          </w:p>
          <w:p w:rsidR="00B56728" w:rsidRPr="00C412AD" w:rsidRDefault="00B56728" w:rsidP="00570A7B">
            <w:pPr>
              <w:rPr>
                <w:rFonts w:cs="Arial"/>
                <w:szCs w:val="24"/>
              </w:rPr>
            </w:pPr>
            <w:r w:rsidRPr="00C412AD">
              <w:rPr>
                <w:rFonts w:cs="Arial"/>
                <w:szCs w:val="24"/>
              </w:rPr>
              <w:t>Meeting(s) of Working Group to consider representations</w:t>
            </w:r>
          </w:p>
          <w:p w:rsidR="00B56728" w:rsidRPr="00C412AD" w:rsidRDefault="00B56728" w:rsidP="00570A7B">
            <w:pPr>
              <w:rPr>
                <w:rFonts w:cs="Arial"/>
                <w:szCs w:val="24"/>
              </w:rPr>
            </w:pPr>
          </w:p>
        </w:tc>
      </w:tr>
      <w:tr w:rsidR="00B56728" w:rsidRPr="00C412AD" w:rsidTr="007072E3">
        <w:tc>
          <w:tcPr>
            <w:tcW w:w="3074" w:type="dxa"/>
            <w:vAlign w:val="center"/>
          </w:tcPr>
          <w:p w:rsidR="00B56728" w:rsidRPr="00C412AD" w:rsidRDefault="007072E3" w:rsidP="00570A7B">
            <w:pPr>
              <w:rPr>
                <w:rFonts w:cs="Arial"/>
                <w:szCs w:val="24"/>
              </w:rPr>
            </w:pPr>
            <w:r>
              <w:rPr>
                <w:rFonts w:cs="Arial"/>
                <w:szCs w:val="24"/>
              </w:rPr>
              <w:t>July</w:t>
            </w:r>
            <w:r w:rsidR="00094FCF">
              <w:rPr>
                <w:rFonts w:cs="Arial"/>
                <w:szCs w:val="24"/>
              </w:rPr>
              <w:t xml:space="preserve"> 2019</w:t>
            </w:r>
          </w:p>
        </w:tc>
        <w:tc>
          <w:tcPr>
            <w:tcW w:w="5156" w:type="dxa"/>
            <w:vAlign w:val="center"/>
          </w:tcPr>
          <w:p w:rsidR="00B56728" w:rsidRPr="00C412AD" w:rsidRDefault="00B56728" w:rsidP="00570A7B">
            <w:pPr>
              <w:rPr>
                <w:rFonts w:cs="Arial"/>
                <w:szCs w:val="24"/>
              </w:rPr>
            </w:pPr>
          </w:p>
          <w:p w:rsidR="00B56728" w:rsidRPr="00C412AD" w:rsidRDefault="00B56728" w:rsidP="00570A7B">
            <w:pPr>
              <w:rPr>
                <w:rFonts w:cs="Arial"/>
                <w:szCs w:val="24"/>
              </w:rPr>
            </w:pPr>
            <w:r w:rsidRPr="00C412AD">
              <w:rPr>
                <w:rFonts w:cs="Arial"/>
                <w:szCs w:val="24"/>
              </w:rPr>
              <w:t>Report from Working Group to Licensing &amp; General Purposes Committee</w:t>
            </w:r>
          </w:p>
          <w:p w:rsidR="00B56728" w:rsidRPr="00C412AD" w:rsidRDefault="00B56728" w:rsidP="00570A7B">
            <w:pPr>
              <w:rPr>
                <w:rFonts w:cs="Arial"/>
                <w:szCs w:val="24"/>
              </w:rPr>
            </w:pPr>
          </w:p>
        </w:tc>
      </w:tr>
    </w:tbl>
    <w:p w:rsidR="00B56728" w:rsidRDefault="00B56728" w:rsidP="00A82895">
      <w:pPr>
        <w:pStyle w:val="BodyText"/>
        <w:jc w:val="both"/>
        <w:rPr>
          <w:i w:val="0"/>
          <w:iCs w:val="0"/>
        </w:rPr>
      </w:pPr>
    </w:p>
    <w:p w:rsidR="00B56728" w:rsidRDefault="00B56728" w:rsidP="00A82895">
      <w:pPr>
        <w:pStyle w:val="BodyText"/>
        <w:jc w:val="both"/>
        <w:rPr>
          <w:i w:val="0"/>
          <w:iCs w:val="0"/>
        </w:rPr>
      </w:pPr>
    </w:p>
    <w:p w:rsidR="00106D0C" w:rsidRDefault="00106D0C" w:rsidP="00A82895">
      <w:pPr>
        <w:jc w:val="both"/>
        <w:rPr>
          <w:rFonts w:cs="Arial"/>
        </w:rPr>
      </w:pPr>
      <w:r>
        <w:rPr>
          <w:rFonts w:cs="Arial"/>
        </w:rPr>
        <w:t xml:space="preserve">In line with the above timetable all current arrangements, including maps of the existing polling district boundaries and locations of polling stations, </w:t>
      </w:r>
      <w:r w:rsidR="00B56728">
        <w:rPr>
          <w:rFonts w:cs="Arial"/>
        </w:rPr>
        <w:t>will</w:t>
      </w:r>
      <w:r>
        <w:rPr>
          <w:rFonts w:cs="Arial"/>
        </w:rPr>
        <w:t xml:space="preserve"> be </w:t>
      </w:r>
      <w:r w:rsidR="00B56728">
        <w:rPr>
          <w:rFonts w:cs="Arial"/>
        </w:rPr>
        <w:t>available</w:t>
      </w:r>
      <w:r>
        <w:rPr>
          <w:rFonts w:cs="Arial"/>
        </w:rPr>
        <w:t xml:space="preserve"> on the Council’s website.  </w:t>
      </w:r>
    </w:p>
    <w:p w:rsidR="00106D0C" w:rsidRPr="00106D0C" w:rsidRDefault="00106D0C" w:rsidP="00106D0C"/>
    <w:p w:rsidR="00094FCF" w:rsidRDefault="00094FCF">
      <w:pPr>
        <w:rPr>
          <w:color w:val="0000FF"/>
        </w:rPr>
      </w:pPr>
    </w:p>
    <w:p w:rsidR="002A2389" w:rsidRDefault="002A2389">
      <w:pPr>
        <w:pStyle w:val="Heading2"/>
      </w:pPr>
      <w:r>
        <w:t>Financial Implications</w:t>
      </w:r>
    </w:p>
    <w:p w:rsidR="002C1794" w:rsidRDefault="002C1794"/>
    <w:p w:rsidR="00106D0C" w:rsidRPr="00894302" w:rsidRDefault="00B56728" w:rsidP="00106D0C">
      <w:pPr>
        <w:tabs>
          <w:tab w:val="left" w:pos="567"/>
          <w:tab w:val="left" w:pos="5040"/>
          <w:tab w:val="left" w:pos="6840"/>
          <w:tab w:val="left" w:pos="9360"/>
        </w:tabs>
        <w:jc w:val="both"/>
        <w:rPr>
          <w:strike/>
          <w:szCs w:val="24"/>
        </w:rPr>
      </w:pPr>
      <w:r>
        <w:t>A</w:t>
      </w:r>
      <w:r w:rsidR="00106D0C">
        <w:t xml:space="preserve">ll costs associated with the review </w:t>
      </w:r>
      <w:r w:rsidR="004317F1">
        <w:t>will</w:t>
      </w:r>
      <w:r w:rsidR="00106D0C">
        <w:t xml:space="preserve"> be met from within the current </w:t>
      </w:r>
      <w:r w:rsidR="00B92CBE">
        <w:t>resources.</w:t>
      </w:r>
    </w:p>
    <w:p w:rsidR="002A2389" w:rsidRDefault="002A2389">
      <w:pPr>
        <w:rPr>
          <w:rFonts w:cs="Arial"/>
        </w:rPr>
      </w:pPr>
    </w:p>
    <w:p w:rsidR="00FF71E5" w:rsidRDefault="00FF71E5"/>
    <w:p w:rsidR="00C32DAE" w:rsidRDefault="00C32DAE" w:rsidP="00E02B50">
      <w:pPr>
        <w:pStyle w:val="Heading2"/>
      </w:pPr>
      <w:r>
        <w:t>Risk Management Implications</w:t>
      </w:r>
    </w:p>
    <w:p w:rsidR="00C32DAE" w:rsidRDefault="00C32DAE" w:rsidP="00C32DAE">
      <w:pPr>
        <w:pStyle w:val="Heading1"/>
        <w:rPr>
          <w:b/>
          <w:sz w:val="24"/>
          <w:szCs w:val="24"/>
        </w:rPr>
      </w:pPr>
    </w:p>
    <w:p w:rsidR="001939BA" w:rsidRDefault="00C32DAE" w:rsidP="00C32DAE">
      <w:pPr>
        <w:pStyle w:val="infotext0"/>
        <w:spacing w:before="0" w:beforeAutospacing="0" w:after="0" w:afterAutospacing="0"/>
        <w:ind w:right="81"/>
        <w:rPr>
          <w:rFonts w:ascii="Arial" w:hAnsi="Arial" w:cs="Arial"/>
        </w:rPr>
      </w:pPr>
      <w:r w:rsidRPr="00612A64">
        <w:rPr>
          <w:rFonts w:ascii="Arial" w:hAnsi="Arial" w:cs="Arial"/>
        </w:rPr>
        <w:t>See separate guidance notes</w:t>
      </w:r>
    </w:p>
    <w:p w:rsidR="001939BA" w:rsidRDefault="001939BA" w:rsidP="00C32DAE">
      <w:pPr>
        <w:pStyle w:val="infotext0"/>
        <w:spacing w:before="0" w:beforeAutospacing="0" w:after="0" w:afterAutospacing="0"/>
        <w:ind w:right="81"/>
        <w:rPr>
          <w:rFonts w:ascii="Arial" w:hAnsi="Arial" w:cs="Arial"/>
        </w:rPr>
      </w:pPr>
    </w:p>
    <w:p w:rsidR="00DD4251" w:rsidRPr="00DD4251" w:rsidRDefault="00DD4251" w:rsidP="00DD4251">
      <w:pPr>
        <w:tabs>
          <w:tab w:val="left" w:pos="5610"/>
        </w:tabs>
        <w:ind w:right="81"/>
        <w:rPr>
          <w:rFonts w:cs="Arial"/>
          <w:szCs w:val="24"/>
          <w:lang w:val="en-US"/>
        </w:rPr>
      </w:pPr>
      <w:r w:rsidRPr="00DD4251">
        <w:rPr>
          <w:rFonts w:cs="Arial"/>
          <w:szCs w:val="24"/>
          <w:lang w:val="en-US"/>
        </w:rPr>
        <w:t xml:space="preserve">Risk included on </w:t>
      </w:r>
      <w:r w:rsidR="00106D0C">
        <w:rPr>
          <w:rFonts w:cs="Arial"/>
          <w:szCs w:val="24"/>
          <w:lang w:val="en-US"/>
        </w:rPr>
        <w:t xml:space="preserve">Directorate risk register?  </w:t>
      </w:r>
      <w:r w:rsidR="00106D0C" w:rsidRPr="006E13E5">
        <w:rPr>
          <w:rFonts w:cs="Arial"/>
          <w:szCs w:val="24"/>
          <w:lang w:val="en-US"/>
        </w:rPr>
        <w:t>Yes</w:t>
      </w:r>
    </w:p>
    <w:p w:rsidR="00DD4251" w:rsidRPr="00DD4251" w:rsidRDefault="00DD4251" w:rsidP="00DD4251">
      <w:pPr>
        <w:ind w:right="141"/>
        <w:rPr>
          <w:rFonts w:cs="Arial"/>
          <w:szCs w:val="24"/>
          <w:lang w:val="en-US" w:eastAsia="en-GB"/>
        </w:rPr>
      </w:pPr>
      <w:r w:rsidRPr="00DD4251">
        <w:rPr>
          <w:rFonts w:cs="Arial"/>
          <w:szCs w:val="24"/>
          <w:lang w:val="en-US" w:eastAsia="en-GB"/>
        </w:rPr>
        <w:t> </w:t>
      </w:r>
    </w:p>
    <w:p w:rsidR="00DD4251" w:rsidRDefault="00DD4251" w:rsidP="00106D0C">
      <w:pPr>
        <w:tabs>
          <w:tab w:val="left" w:pos="4488"/>
        </w:tabs>
        <w:ind w:right="141"/>
        <w:rPr>
          <w:rFonts w:cs="Arial"/>
          <w:szCs w:val="24"/>
          <w:lang w:val="en-US" w:eastAsia="en-GB"/>
        </w:rPr>
      </w:pPr>
      <w:r w:rsidRPr="00DD4251">
        <w:rPr>
          <w:rFonts w:cs="Arial"/>
          <w:szCs w:val="24"/>
          <w:lang w:val="en-US" w:eastAsia="en-GB"/>
        </w:rPr>
        <w:t xml:space="preserve">Separate risk register in place?  </w:t>
      </w:r>
      <w:r w:rsidRPr="006E13E5">
        <w:rPr>
          <w:rFonts w:cs="Arial"/>
          <w:szCs w:val="24"/>
          <w:lang w:val="en-US" w:eastAsia="en-GB"/>
        </w:rPr>
        <w:t>No</w:t>
      </w:r>
      <w:r w:rsidRPr="00DD4251">
        <w:rPr>
          <w:rFonts w:cs="Arial"/>
          <w:szCs w:val="24"/>
          <w:lang w:val="en-US" w:eastAsia="en-GB"/>
        </w:rPr>
        <w:tab/>
      </w:r>
    </w:p>
    <w:p w:rsidR="00C32DAE" w:rsidRDefault="00C32DAE" w:rsidP="00C32DAE">
      <w:pPr>
        <w:ind w:right="141"/>
        <w:rPr>
          <w:rFonts w:cs="Arial"/>
          <w:szCs w:val="24"/>
          <w:lang w:val="en-US"/>
        </w:rPr>
      </w:pPr>
    </w:p>
    <w:p w:rsidR="00FD31A0" w:rsidRDefault="00FD31A0" w:rsidP="00C32DAE">
      <w:pPr>
        <w:ind w:right="141"/>
        <w:rPr>
          <w:rFonts w:cs="Arial"/>
          <w:szCs w:val="24"/>
          <w:lang w:val="en-US"/>
        </w:rPr>
      </w:pPr>
    </w:p>
    <w:p w:rsidR="00FD31A0" w:rsidRPr="004A2543" w:rsidRDefault="00FD31A0" w:rsidP="00FD31A0">
      <w:pPr>
        <w:pStyle w:val="Heading2"/>
        <w:keepNext/>
      </w:pPr>
      <w:r w:rsidRPr="004A2543">
        <w:t>Equalities implications</w:t>
      </w:r>
    </w:p>
    <w:p w:rsidR="00FD31A0" w:rsidRDefault="00FD31A0" w:rsidP="00FD31A0">
      <w:pPr>
        <w:keepNext/>
      </w:pPr>
    </w:p>
    <w:p w:rsidR="00FD31A0" w:rsidRPr="004A2543" w:rsidRDefault="00FD31A0" w:rsidP="00FD31A0">
      <w:r w:rsidRPr="004A2543">
        <w:t xml:space="preserve">Was an Equality Impact Assessment carried out?  </w:t>
      </w:r>
      <w:r>
        <w:t xml:space="preserve">No </w:t>
      </w:r>
    </w:p>
    <w:p w:rsidR="00FD31A0" w:rsidRPr="004A2543" w:rsidRDefault="00FD31A0" w:rsidP="00FD31A0"/>
    <w:p w:rsidR="00FD31A0" w:rsidRPr="004A2543" w:rsidRDefault="00FD31A0" w:rsidP="00FD31A0"/>
    <w:p w:rsidR="00FD31A0" w:rsidRPr="004A2543" w:rsidRDefault="00FD31A0" w:rsidP="00FD31A0">
      <w:r w:rsidRPr="004A2543">
        <w:t>If no, state why an EqIA was not carried out below:</w:t>
      </w:r>
    </w:p>
    <w:p w:rsidR="00FD31A0" w:rsidRDefault="00FD31A0" w:rsidP="00FD31A0">
      <w:pPr>
        <w:ind w:right="141"/>
        <w:rPr>
          <w:rFonts w:cs="Arial"/>
          <w:szCs w:val="24"/>
          <w:lang w:val="en-US"/>
        </w:rPr>
      </w:pPr>
    </w:p>
    <w:p w:rsidR="001B0098" w:rsidRDefault="001B0098" w:rsidP="00FD31A0">
      <w:pPr>
        <w:ind w:right="141"/>
        <w:rPr>
          <w:rFonts w:cs="Arial"/>
          <w:szCs w:val="24"/>
          <w:lang w:val="en-US"/>
        </w:rPr>
      </w:pPr>
      <w:r>
        <w:rPr>
          <w:rFonts w:cs="Arial"/>
          <w:szCs w:val="24"/>
          <w:lang w:val="en-US"/>
        </w:rPr>
        <w:t xml:space="preserve">An EqIA will be conducted </w:t>
      </w:r>
      <w:r w:rsidR="000B16F1">
        <w:rPr>
          <w:rFonts w:cs="Arial"/>
          <w:szCs w:val="24"/>
          <w:lang w:val="en-US"/>
        </w:rPr>
        <w:t>to inform</w:t>
      </w:r>
      <w:r>
        <w:rPr>
          <w:rFonts w:cs="Arial"/>
          <w:szCs w:val="24"/>
          <w:lang w:val="en-US"/>
        </w:rPr>
        <w:t xml:space="preserve"> the Review process.</w:t>
      </w:r>
    </w:p>
    <w:p w:rsidR="00900464" w:rsidRDefault="00900464" w:rsidP="00C32DAE">
      <w:pPr>
        <w:ind w:right="141"/>
        <w:rPr>
          <w:rFonts w:cs="Arial"/>
          <w:szCs w:val="24"/>
          <w:lang w:val="en-US"/>
        </w:rPr>
      </w:pPr>
    </w:p>
    <w:p w:rsidR="00DE57F3" w:rsidRDefault="00DE57F3" w:rsidP="004B4A47">
      <w:pPr>
        <w:pStyle w:val="Heading2"/>
      </w:pPr>
    </w:p>
    <w:p w:rsidR="009448E5" w:rsidRPr="009448E5" w:rsidRDefault="009448E5" w:rsidP="009448E5"/>
    <w:p w:rsidR="004B4A47" w:rsidRPr="00CD57D8" w:rsidRDefault="00AC0AAB" w:rsidP="004B4A47">
      <w:pPr>
        <w:pStyle w:val="Heading2"/>
      </w:pPr>
      <w:r>
        <w:lastRenderedPageBreak/>
        <w:t xml:space="preserve">Council </w:t>
      </w:r>
      <w:r w:rsidR="004B4A47" w:rsidRPr="00CD57D8">
        <w:t>Priorities</w:t>
      </w:r>
    </w:p>
    <w:p w:rsidR="004B4A47" w:rsidRPr="00CD57D8" w:rsidRDefault="004B4A47" w:rsidP="00DE57F3">
      <w:pPr>
        <w:keepNext/>
        <w:ind w:right="144"/>
        <w:jc w:val="both"/>
        <w:rPr>
          <w:rFonts w:cs="Arial"/>
          <w:szCs w:val="24"/>
          <w:lang w:val="en-US"/>
        </w:rPr>
      </w:pPr>
    </w:p>
    <w:p w:rsidR="00EF2F91" w:rsidRDefault="00DE57F3" w:rsidP="00DE57F3">
      <w:pPr>
        <w:jc w:val="both"/>
      </w:pPr>
      <w:r>
        <w:rPr>
          <w:rFonts w:cs="Arial"/>
          <w:szCs w:val="24"/>
          <w:lang w:val="en-US"/>
        </w:rPr>
        <w:t xml:space="preserve">The proposed </w:t>
      </w:r>
      <w:r w:rsidR="005E29C3">
        <w:rPr>
          <w:rFonts w:cs="Arial"/>
          <w:szCs w:val="24"/>
          <w:lang w:val="en-US"/>
        </w:rPr>
        <w:t>review</w:t>
      </w:r>
      <w:r>
        <w:rPr>
          <w:rFonts w:cs="Arial"/>
          <w:szCs w:val="24"/>
          <w:lang w:val="en-US"/>
        </w:rPr>
        <w:t xml:space="preserve"> will </w:t>
      </w:r>
      <w:r w:rsidR="005E29C3">
        <w:rPr>
          <w:rFonts w:cs="Arial"/>
          <w:szCs w:val="24"/>
          <w:lang w:val="en-US"/>
        </w:rPr>
        <w:t>support</w:t>
      </w:r>
      <w:r>
        <w:rPr>
          <w:rFonts w:cs="Arial"/>
          <w:szCs w:val="24"/>
          <w:lang w:val="en-US"/>
        </w:rPr>
        <w:t xml:space="preserve"> all of the Council’s Corporate Priorities by seeking to </w:t>
      </w:r>
      <w:r w:rsidR="00754530">
        <w:rPr>
          <w:rFonts w:cs="Arial"/>
          <w:szCs w:val="24"/>
          <w:lang w:val="en-US"/>
        </w:rPr>
        <w:t xml:space="preserve">ensure that </w:t>
      </w:r>
      <w:r w:rsidR="002D54CB">
        <w:rPr>
          <w:rFonts w:cs="Arial"/>
          <w:szCs w:val="24"/>
          <w:lang w:val="en-US"/>
        </w:rPr>
        <w:t>all of its polling districts, places and stations are appropriate for elections</w:t>
      </w:r>
      <w:r w:rsidR="00FC2F79">
        <w:rPr>
          <w:rFonts w:cs="Arial"/>
          <w:szCs w:val="24"/>
          <w:lang w:val="en-US"/>
        </w:rPr>
        <w:t xml:space="preserve"> held within the borough</w:t>
      </w:r>
      <w:r w:rsidR="002D54CB">
        <w:rPr>
          <w:rFonts w:cs="Arial"/>
          <w:szCs w:val="24"/>
          <w:lang w:val="en-US"/>
        </w:rPr>
        <w:t>.</w:t>
      </w:r>
      <w:r>
        <w:rPr>
          <w:rFonts w:cs="Arial"/>
          <w:szCs w:val="24"/>
          <w:lang w:val="en-US"/>
        </w:rPr>
        <w:t xml:space="preserve"> Elections provide residents with the opportunity to vote for democratically elected representatives who provide the political leadership for the Corporate Priorities and Harrow’s Ambition Plan.</w:t>
      </w: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1E229A">
            <w:pPr>
              <w:pStyle w:val="Infotext"/>
            </w:pPr>
            <w:r>
              <w:t>Name:</w:t>
            </w:r>
            <w:r w:rsidR="001E229A">
              <w:t xml:space="preserve"> Dawn Calvert</w:t>
            </w:r>
          </w:p>
        </w:tc>
        <w:tc>
          <w:tcPr>
            <w:tcW w:w="138" w:type="pct"/>
            <w:tcBorders>
              <w:bottom w:val="single" w:sz="4" w:space="0" w:color="auto"/>
            </w:tcBorders>
          </w:tcPr>
          <w:p w:rsidR="002A2389" w:rsidRDefault="001E229A">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1E229A">
            <w:pPr>
              <w:pStyle w:val="Infotext"/>
            </w:pPr>
            <w:r>
              <w:t xml:space="preserve">Date: </w:t>
            </w:r>
            <w:r w:rsidR="001E229A">
              <w:t>28 January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A3C77">
            <w:pPr>
              <w:pStyle w:val="Infotext"/>
            </w:pPr>
            <w:r>
              <w:t xml:space="preserve">Name: </w:t>
            </w:r>
            <w:r w:rsidR="00EA3C77">
              <w:t>Hugh Peart</w:t>
            </w:r>
          </w:p>
        </w:tc>
        <w:tc>
          <w:tcPr>
            <w:tcW w:w="138" w:type="pct"/>
            <w:tcBorders>
              <w:bottom w:val="single" w:sz="4" w:space="0" w:color="auto"/>
            </w:tcBorders>
          </w:tcPr>
          <w:p w:rsidR="002A2389" w:rsidRDefault="001F612C">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EA3C77">
            <w:pPr>
              <w:pStyle w:val="Infotext"/>
            </w:pPr>
            <w:r>
              <w:t xml:space="preserve">Date: </w:t>
            </w:r>
            <w:r w:rsidR="00EA3C77">
              <w:t xml:space="preserve"> 25 January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jc w:val="both"/>
        <w:rPr>
          <w:rFonts w:cs="Arial"/>
        </w:rPr>
      </w:pPr>
    </w:p>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0B0E6F" w:rsidRDefault="000B0E6F"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NO </w:t>
            </w:r>
          </w:p>
          <w:p w:rsidR="000B0E6F" w:rsidRDefault="000B0E6F" w:rsidP="008D7800">
            <w:pPr>
              <w:pStyle w:val="Infotext"/>
              <w:rPr>
                <w:i/>
                <w:sz w:val="24"/>
                <w:szCs w:val="24"/>
              </w:rPr>
            </w:pPr>
          </w:p>
          <w:p w:rsidR="000B0E6F" w:rsidRPr="003D78F6" w:rsidRDefault="000B0E6F" w:rsidP="008D7800">
            <w:pPr>
              <w:pStyle w:val="Infotext"/>
              <w:ind w:left="173"/>
              <w:rPr>
                <w:i/>
                <w:sz w:val="24"/>
                <w:szCs w:val="24"/>
              </w:rPr>
            </w:pPr>
          </w:p>
        </w:tc>
      </w:tr>
    </w:tbl>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Pr>
        <w:pStyle w:val="Infotext"/>
      </w:pPr>
      <w:r w:rsidRPr="00D914D2">
        <w:rPr>
          <w:b/>
        </w:rPr>
        <w:t>Contact:</w:t>
      </w:r>
      <w:r>
        <w:t xml:space="preserve">  </w:t>
      </w:r>
      <w:r w:rsidR="00623062">
        <w:rPr>
          <w:rFonts w:cs="Arial"/>
          <w:sz w:val="24"/>
        </w:rPr>
        <w:t>Elaine McEachron, Democratic, Electoral and Registration Services Manager, elaine.mceachron@harrow.gov.uk , 020 8424 1097</w:t>
      </w:r>
    </w:p>
    <w:p w:rsidR="002A2389" w:rsidRDefault="002A2389"/>
    <w:p w:rsidR="002A2389" w:rsidRDefault="002A2389">
      <w:pPr>
        <w:pStyle w:val="Infotext"/>
      </w:pPr>
      <w:r w:rsidRPr="00D914D2">
        <w:rPr>
          <w:b/>
        </w:rPr>
        <w:t>Background Papers</w:t>
      </w:r>
      <w:r>
        <w:t xml:space="preserve">:  </w:t>
      </w:r>
      <w:r w:rsidR="00A82895">
        <w:rPr>
          <w:rFonts w:cs="Arial"/>
          <w:sz w:val="24"/>
        </w:rPr>
        <w:t>None</w:t>
      </w:r>
    </w:p>
    <w:p w:rsidR="002A2389" w:rsidRDefault="002A2389"/>
    <w:p w:rsidR="002A2389" w:rsidRDefault="002A2389">
      <w:pPr>
        <w:pStyle w:val="Infotext"/>
      </w:pPr>
      <w:r>
        <w:t xml:space="preserve">If appropriate, does the report include the following considerations? </w:t>
      </w:r>
    </w:p>
    <w:p w:rsidR="002A2389" w:rsidRDefault="002A2389"/>
    <w:p w:rsidR="002A2389" w:rsidRDefault="002A2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43"/>
        <w:gridCol w:w="2126"/>
      </w:tblGrid>
      <w:tr w:rsidR="002A2389">
        <w:tc>
          <w:tcPr>
            <w:tcW w:w="656" w:type="dxa"/>
          </w:tcPr>
          <w:p w:rsidR="002A2389" w:rsidRDefault="002A2389">
            <w:pPr>
              <w:pStyle w:val="Infotext"/>
            </w:pPr>
            <w:r>
              <w:t>1.</w:t>
            </w:r>
          </w:p>
        </w:tc>
        <w:tc>
          <w:tcPr>
            <w:tcW w:w="5743" w:type="dxa"/>
          </w:tcPr>
          <w:p w:rsidR="002A2389" w:rsidRDefault="002A2389">
            <w:pPr>
              <w:pStyle w:val="Infotext"/>
            </w:pPr>
            <w:r>
              <w:t xml:space="preserve">Consultation </w:t>
            </w:r>
          </w:p>
        </w:tc>
        <w:tc>
          <w:tcPr>
            <w:tcW w:w="2126" w:type="dxa"/>
          </w:tcPr>
          <w:p w:rsidR="002A2389" w:rsidRDefault="002A2389" w:rsidP="00A82895">
            <w:pPr>
              <w:pStyle w:val="Infotext"/>
            </w:pPr>
            <w:r>
              <w:t xml:space="preserve">YES </w:t>
            </w:r>
          </w:p>
        </w:tc>
      </w:tr>
      <w:tr w:rsidR="002A2389">
        <w:tc>
          <w:tcPr>
            <w:tcW w:w="656" w:type="dxa"/>
          </w:tcPr>
          <w:p w:rsidR="002A2389" w:rsidRDefault="002A2389">
            <w:pPr>
              <w:pStyle w:val="Infotext"/>
            </w:pPr>
            <w:r>
              <w:t>2.</w:t>
            </w:r>
          </w:p>
        </w:tc>
        <w:tc>
          <w:tcPr>
            <w:tcW w:w="5743" w:type="dxa"/>
          </w:tcPr>
          <w:p w:rsidR="002A2389" w:rsidRDefault="00FF71E5">
            <w:pPr>
              <w:pStyle w:val="Infotext"/>
            </w:pPr>
            <w:r>
              <w:t>Priorities</w:t>
            </w:r>
          </w:p>
        </w:tc>
        <w:tc>
          <w:tcPr>
            <w:tcW w:w="2126" w:type="dxa"/>
          </w:tcPr>
          <w:p w:rsidR="002A2389" w:rsidRDefault="00A82895">
            <w:pPr>
              <w:pStyle w:val="Infotext"/>
            </w:pPr>
            <w:r>
              <w:t>N/A</w:t>
            </w:r>
            <w:r w:rsidR="002A2389">
              <w:t xml:space="preserve"> </w:t>
            </w:r>
          </w:p>
        </w:tc>
      </w:tr>
    </w:tbl>
    <w:p w:rsidR="002A2389" w:rsidRDefault="002A2389"/>
    <w:p w:rsidR="00D278EE" w:rsidRDefault="00A079AF" w:rsidP="007E19BD">
      <w:pPr>
        <w:jc w:val="right"/>
        <w:rPr>
          <w:b/>
          <w:sz w:val="32"/>
          <w:szCs w:val="32"/>
        </w:rPr>
      </w:pPr>
      <w:r>
        <w:rPr>
          <w:b/>
          <w:sz w:val="32"/>
          <w:szCs w:val="32"/>
        </w:rPr>
        <w:br w:type="page"/>
      </w:r>
    </w:p>
    <w:p w:rsidR="007E19BD" w:rsidRPr="00A83739" w:rsidRDefault="007E19BD" w:rsidP="007E19BD">
      <w:pPr>
        <w:jc w:val="right"/>
        <w:rPr>
          <w:b/>
          <w:sz w:val="32"/>
          <w:szCs w:val="32"/>
        </w:rPr>
      </w:pPr>
      <w:r w:rsidRPr="00A83739">
        <w:rPr>
          <w:b/>
          <w:sz w:val="32"/>
          <w:szCs w:val="32"/>
        </w:rPr>
        <w:t>APPENDIX 1</w:t>
      </w:r>
    </w:p>
    <w:p w:rsidR="007E19BD" w:rsidRDefault="007E19BD" w:rsidP="007E19BD">
      <w:pPr>
        <w:jc w:val="right"/>
      </w:pPr>
    </w:p>
    <w:p w:rsidR="007E19BD" w:rsidRDefault="007E19BD" w:rsidP="007E19BD">
      <w:pPr>
        <w:jc w:val="right"/>
      </w:pPr>
    </w:p>
    <w:p w:rsidR="007E19BD" w:rsidRDefault="007E19BD" w:rsidP="007E19BD">
      <w:pPr>
        <w:jc w:val="right"/>
      </w:pPr>
    </w:p>
    <w:p w:rsidR="007E19BD" w:rsidRDefault="007E19BD" w:rsidP="007E19BD">
      <w:pPr>
        <w:pStyle w:val="BodyText"/>
        <w:jc w:val="center"/>
        <w:rPr>
          <w:b/>
          <w:bCs/>
          <w:i w:val="0"/>
          <w:iCs w:val="0"/>
          <w:sz w:val="28"/>
          <w:szCs w:val="28"/>
        </w:rPr>
      </w:pPr>
      <w:r w:rsidRPr="00A83739">
        <w:rPr>
          <w:b/>
          <w:bCs/>
          <w:i w:val="0"/>
          <w:iCs w:val="0"/>
          <w:sz w:val="28"/>
          <w:szCs w:val="28"/>
        </w:rPr>
        <w:t>Proposed Terms of Reference</w:t>
      </w:r>
    </w:p>
    <w:p w:rsidR="007E19BD" w:rsidRPr="00A83739" w:rsidRDefault="007E19BD" w:rsidP="007E19BD">
      <w:pPr>
        <w:pStyle w:val="BodyText"/>
        <w:jc w:val="center"/>
        <w:rPr>
          <w:b/>
          <w:bCs/>
          <w:i w:val="0"/>
          <w:iCs w:val="0"/>
          <w:sz w:val="28"/>
          <w:szCs w:val="28"/>
        </w:rPr>
      </w:pPr>
    </w:p>
    <w:p w:rsidR="007E19BD" w:rsidRPr="00A83739" w:rsidRDefault="007E19BD" w:rsidP="007E19BD">
      <w:pPr>
        <w:pStyle w:val="BodyText"/>
        <w:jc w:val="center"/>
        <w:rPr>
          <w:b/>
          <w:bCs/>
          <w:sz w:val="28"/>
          <w:szCs w:val="28"/>
        </w:rPr>
      </w:pPr>
      <w:r w:rsidRPr="00A83739">
        <w:rPr>
          <w:b/>
          <w:bCs/>
          <w:i w:val="0"/>
          <w:iCs w:val="0"/>
          <w:sz w:val="28"/>
          <w:szCs w:val="28"/>
        </w:rPr>
        <w:t>Review of Polling Districts and Places Working Group</w:t>
      </w:r>
    </w:p>
    <w:p w:rsidR="007E19BD" w:rsidRDefault="007E19BD" w:rsidP="00B550E6">
      <w:pPr>
        <w:jc w:val="both"/>
        <w:rPr>
          <w:rFonts w:cs="Arial"/>
          <w:sz w:val="28"/>
          <w:szCs w:val="28"/>
        </w:rPr>
      </w:pPr>
    </w:p>
    <w:p w:rsidR="007E19BD" w:rsidRPr="00A83739" w:rsidRDefault="007E19BD" w:rsidP="00B550E6">
      <w:pPr>
        <w:jc w:val="both"/>
        <w:rPr>
          <w:rFonts w:cs="Arial"/>
          <w:sz w:val="28"/>
          <w:szCs w:val="28"/>
        </w:rPr>
      </w:pPr>
    </w:p>
    <w:p w:rsidR="007E19BD" w:rsidRPr="00A83739" w:rsidRDefault="007E19BD" w:rsidP="00B550E6">
      <w:pPr>
        <w:numPr>
          <w:ilvl w:val="0"/>
          <w:numId w:val="11"/>
        </w:numPr>
        <w:ind w:hanging="706"/>
        <w:jc w:val="both"/>
        <w:rPr>
          <w:rFonts w:cs="Arial"/>
          <w:sz w:val="28"/>
          <w:szCs w:val="28"/>
        </w:rPr>
      </w:pPr>
      <w:r w:rsidRPr="00A83739">
        <w:rPr>
          <w:rFonts w:cs="Arial"/>
          <w:sz w:val="28"/>
          <w:szCs w:val="28"/>
        </w:rPr>
        <w:t xml:space="preserve">To consult the Returning Officer for every </w:t>
      </w:r>
      <w:r w:rsidRPr="00AE26CA">
        <w:rPr>
          <w:rFonts w:cs="Arial"/>
          <w:sz w:val="28"/>
          <w:szCs w:val="28"/>
        </w:rPr>
        <w:t xml:space="preserve">parliamentary </w:t>
      </w:r>
      <w:r w:rsidR="00D278EE">
        <w:rPr>
          <w:rFonts w:cs="Arial"/>
          <w:sz w:val="28"/>
          <w:szCs w:val="28"/>
        </w:rPr>
        <w:t>election held in the borough or</w:t>
      </w:r>
      <w:r w:rsidRPr="00A83739">
        <w:rPr>
          <w:rFonts w:cs="Arial"/>
          <w:sz w:val="28"/>
          <w:szCs w:val="28"/>
        </w:rPr>
        <w:t xml:space="preserve"> constituency, which is wholly, or partly in its area on the facilities for voting and the accessibility of polling places to all electors (including disabled persons);</w:t>
      </w:r>
    </w:p>
    <w:p w:rsidR="007E19BD" w:rsidRDefault="007E19BD" w:rsidP="00B550E6">
      <w:pPr>
        <w:jc w:val="both"/>
        <w:rPr>
          <w:rFonts w:cs="Arial"/>
          <w:sz w:val="28"/>
          <w:szCs w:val="28"/>
        </w:rPr>
      </w:pPr>
    </w:p>
    <w:p w:rsidR="007E19BD" w:rsidRPr="00A83739" w:rsidRDefault="007E19BD" w:rsidP="00B550E6">
      <w:pPr>
        <w:jc w:val="both"/>
        <w:rPr>
          <w:rFonts w:cs="Arial"/>
          <w:sz w:val="28"/>
          <w:szCs w:val="28"/>
        </w:rPr>
      </w:pPr>
    </w:p>
    <w:p w:rsidR="007E19BD" w:rsidRPr="00A83739" w:rsidRDefault="007E19BD" w:rsidP="00B550E6">
      <w:pPr>
        <w:numPr>
          <w:ilvl w:val="0"/>
          <w:numId w:val="11"/>
        </w:numPr>
        <w:ind w:hanging="706"/>
        <w:jc w:val="both"/>
        <w:rPr>
          <w:rFonts w:cs="Arial"/>
          <w:sz w:val="28"/>
          <w:szCs w:val="28"/>
        </w:rPr>
      </w:pPr>
      <w:r w:rsidRPr="00A83739">
        <w:rPr>
          <w:rFonts w:cs="Arial"/>
          <w:sz w:val="28"/>
          <w:szCs w:val="28"/>
        </w:rPr>
        <w:t>To consider representations made by the Returning Officer as to the location of existing and proposed polling stations, within the existing and proposed polling places;</w:t>
      </w:r>
    </w:p>
    <w:p w:rsidR="007E19BD" w:rsidRDefault="007E19BD" w:rsidP="00B550E6">
      <w:pPr>
        <w:jc w:val="both"/>
        <w:rPr>
          <w:rFonts w:cs="Arial"/>
          <w:sz w:val="28"/>
          <w:szCs w:val="28"/>
        </w:rPr>
      </w:pPr>
    </w:p>
    <w:p w:rsidR="007E19BD" w:rsidRPr="00A83739" w:rsidRDefault="007E19BD" w:rsidP="00B550E6">
      <w:pPr>
        <w:jc w:val="both"/>
        <w:rPr>
          <w:rFonts w:cs="Arial"/>
          <w:sz w:val="28"/>
          <w:szCs w:val="28"/>
        </w:rPr>
      </w:pPr>
    </w:p>
    <w:p w:rsidR="007E19BD" w:rsidRPr="00A83739" w:rsidRDefault="007E19BD" w:rsidP="00B550E6">
      <w:pPr>
        <w:numPr>
          <w:ilvl w:val="0"/>
          <w:numId w:val="11"/>
        </w:numPr>
        <w:ind w:hanging="706"/>
        <w:jc w:val="both"/>
        <w:rPr>
          <w:rFonts w:cs="Arial"/>
          <w:sz w:val="28"/>
          <w:szCs w:val="28"/>
        </w:rPr>
      </w:pPr>
      <w:r w:rsidRPr="00A83739">
        <w:rPr>
          <w:rFonts w:cs="Arial"/>
          <w:sz w:val="28"/>
          <w:szCs w:val="28"/>
        </w:rPr>
        <w:t xml:space="preserve">To consider all representations made on the review and any comments received on the Returning Officer’s representations; </w:t>
      </w:r>
    </w:p>
    <w:p w:rsidR="007E19BD" w:rsidRDefault="007E19BD" w:rsidP="00B550E6">
      <w:pPr>
        <w:jc w:val="both"/>
        <w:rPr>
          <w:rFonts w:cs="Arial"/>
          <w:sz w:val="28"/>
          <w:szCs w:val="28"/>
        </w:rPr>
      </w:pPr>
    </w:p>
    <w:p w:rsidR="007E19BD" w:rsidRPr="00A83739" w:rsidRDefault="007E19BD" w:rsidP="00B550E6">
      <w:pPr>
        <w:jc w:val="both"/>
        <w:rPr>
          <w:rFonts w:cs="Arial"/>
          <w:sz w:val="28"/>
          <w:szCs w:val="28"/>
        </w:rPr>
      </w:pPr>
    </w:p>
    <w:p w:rsidR="007E19BD" w:rsidRPr="00A83739" w:rsidRDefault="007E19BD" w:rsidP="00B550E6">
      <w:pPr>
        <w:numPr>
          <w:ilvl w:val="0"/>
          <w:numId w:val="11"/>
        </w:numPr>
        <w:ind w:hanging="706"/>
        <w:jc w:val="both"/>
        <w:rPr>
          <w:rFonts w:cs="Arial"/>
          <w:sz w:val="28"/>
          <w:szCs w:val="28"/>
        </w:rPr>
      </w:pPr>
      <w:r w:rsidRPr="00A83739">
        <w:rPr>
          <w:rFonts w:cs="Arial"/>
          <w:sz w:val="28"/>
          <w:szCs w:val="28"/>
        </w:rPr>
        <w:t>To make recommendations on the proposed review to the Licensing and General Purposes Committee.</w:t>
      </w:r>
    </w:p>
    <w:p w:rsidR="007E19BD" w:rsidRDefault="007E19BD"/>
    <w:sectPr w:rsidR="007E19BD"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FE" w:rsidRDefault="008F74FE">
      <w:r>
        <w:separator/>
      </w:r>
    </w:p>
  </w:endnote>
  <w:endnote w:type="continuationSeparator" w:id="0">
    <w:p w:rsidR="008F74FE" w:rsidRDefault="008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0" w:rsidRDefault="00F57A6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9.5pt;margin-top:720.7pt;width:571.5pt;height:102.85pt;z-index:251657728;mso-position-vertical-relative:page" o:allowoverlap="f">
          <v:imagedata r:id="rId1" o:title="Ribbon_black" cropbottom="15673f"/>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FE" w:rsidRDefault="008F74FE">
      <w:r>
        <w:separator/>
      </w:r>
    </w:p>
  </w:footnote>
  <w:footnote w:type="continuationSeparator" w:id="0">
    <w:p w:rsidR="008F74FE" w:rsidRDefault="008F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5F" w:rsidRDefault="00474B5F">
    <w:pPr>
      <w:pStyle w:val="Header"/>
    </w:pPr>
  </w:p>
  <w:p w:rsidR="00474B5F" w:rsidRDefault="0047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F33F6F"/>
    <w:multiLevelType w:val="hybridMultilevel"/>
    <w:tmpl w:val="71E62812"/>
    <w:lvl w:ilvl="0" w:tplc="52AADB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4D13DA"/>
    <w:multiLevelType w:val="hybridMultilevel"/>
    <w:tmpl w:val="24E60A34"/>
    <w:lvl w:ilvl="0" w:tplc="58EE2446">
      <w:start w:val="1"/>
      <w:numFmt w:val="decimal"/>
      <w:lvlText w:val="(%1)"/>
      <w:lvlJc w:val="left"/>
      <w:pPr>
        <w:tabs>
          <w:tab w:val="num" w:pos="1080"/>
        </w:tabs>
        <w:ind w:left="1080" w:hanging="720"/>
      </w:pPr>
      <w:rPr>
        <w:rFonts w:hint="default"/>
      </w:rPr>
    </w:lvl>
    <w:lvl w:ilvl="1" w:tplc="E2BCD9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D1E32"/>
    <w:multiLevelType w:val="hybridMultilevel"/>
    <w:tmpl w:val="067880EA"/>
    <w:lvl w:ilvl="0" w:tplc="819A72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F04AE0"/>
    <w:multiLevelType w:val="hybridMultilevel"/>
    <w:tmpl w:val="64687F8A"/>
    <w:lvl w:ilvl="0" w:tplc="574A2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303"/>
    <w:rsid w:val="00000EDD"/>
    <w:rsid w:val="00025AF0"/>
    <w:rsid w:val="000275E7"/>
    <w:rsid w:val="00027D45"/>
    <w:rsid w:val="00052AA0"/>
    <w:rsid w:val="00052CCD"/>
    <w:rsid w:val="00057F10"/>
    <w:rsid w:val="000618C2"/>
    <w:rsid w:val="000633A2"/>
    <w:rsid w:val="00067401"/>
    <w:rsid w:val="00071EB4"/>
    <w:rsid w:val="000722D2"/>
    <w:rsid w:val="00077298"/>
    <w:rsid w:val="00081836"/>
    <w:rsid w:val="00094FCF"/>
    <w:rsid w:val="000A4BA5"/>
    <w:rsid w:val="000B0E6F"/>
    <w:rsid w:val="000B16F1"/>
    <w:rsid w:val="000B46A8"/>
    <w:rsid w:val="000B6DBB"/>
    <w:rsid w:val="000D2BF2"/>
    <w:rsid w:val="000D7167"/>
    <w:rsid w:val="000F65C0"/>
    <w:rsid w:val="00106D0C"/>
    <w:rsid w:val="00131A1A"/>
    <w:rsid w:val="0013756D"/>
    <w:rsid w:val="00176C63"/>
    <w:rsid w:val="00181454"/>
    <w:rsid w:val="001843F0"/>
    <w:rsid w:val="001939BA"/>
    <w:rsid w:val="001A6EB0"/>
    <w:rsid w:val="001B0098"/>
    <w:rsid w:val="001B3CAB"/>
    <w:rsid w:val="001C5225"/>
    <w:rsid w:val="001E0219"/>
    <w:rsid w:val="001E229A"/>
    <w:rsid w:val="001E3E91"/>
    <w:rsid w:val="001E577E"/>
    <w:rsid w:val="001F612C"/>
    <w:rsid w:val="0022598B"/>
    <w:rsid w:val="00231A1D"/>
    <w:rsid w:val="0026327B"/>
    <w:rsid w:val="0027698B"/>
    <w:rsid w:val="00293F9F"/>
    <w:rsid w:val="002A2389"/>
    <w:rsid w:val="002C08E2"/>
    <w:rsid w:val="002C1794"/>
    <w:rsid w:val="002D54CB"/>
    <w:rsid w:val="002E77E3"/>
    <w:rsid w:val="00326055"/>
    <w:rsid w:val="0032618B"/>
    <w:rsid w:val="00332947"/>
    <w:rsid w:val="00343EA6"/>
    <w:rsid w:val="00344F28"/>
    <w:rsid w:val="00345915"/>
    <w:rsid w:val="00364BFE"/>
    <w:rsid w:val="003E14B4"/>
    <w:rsid w:val="003E5C55"/>
    <w:rsid w:val="0042394B"/>
    <w:rsid w:val="004317F1"/>
    <w:rsid w:val="00473B08"/>
    <w:rsid w:val="00474B5F"/>
    <w:rsid w:val="00496A05"/>
    <w:rsid w:val="004A3CE6"/>
    <w:rsid w:val="004B2C9D"/>
    <w:rsid w:val="004B4A47"/>
    <w:rsid w:val="004B6B24"/>
    <w:rsid w:val="004D098E"/>
    <w:rsid w:val="004E667D"/>
    <w:rsid w:val="004E6AF9"/>
    <w:rsid w:val="00503E63"/>
    <w:rsid w:val="00520576"/>
    <w:rsid w:val="005517E4"/>
    <w:rsid w:val="00597314"/>
    <w:rsid w:val="005A61AF"/>
    <w:rsid w:val="005B22A3"/>
    <w:rsid w:val="005E29C3"/>
    <w:rsid w:val="005E384D"/>
    <w:rsid w:val="005F2181"/>
    <w:rsid w:val="005F724B"/>
    <w:rsid w:val="00606826"/>
    <w:rsid w:val="006175D8"/>
    <w:rsid w:val="006202DC"/>
    <w:rsid w:val="00623062"/>
    <w:rsid w:val="0063072B"/>
    <w:rsid w:val="00632143"/>
    <w:rsid w:val="006343A0"/>
    <w:rsid w:val="006565A5"/>
    <w:rsid w:val="006613F7"/>
    <w:rsid w:val="00662891"/>
    <w:rsid w:val="006628B7"/>
    <w:rsid w:val="0067343F"/>
    <w:rsid w:val="00675FCB"/>
    <w:rsid w:val="006B635B"/>
    <w:rsid w:val="006C3914"/>
    <w:rsid w:val="006D3648"/>
    <w:rsid w:val="006E13E5"/>
    <w:rsid w:val="00706229"/>
    <w:rsid w:val="007072E3"/>
    <w:rsid w:val="00711E69"/>
    <w:rsid w:val="00720632"/>
    <w:rsid w:val="0074184E"/>
    <w:rsid w:val="00741E04"/>
    <w:rsid w:val="00743829"/>
    <w:rsid w:val="00747B74"/>
    <w:rsid w:val="00754530"/>
    <w:rsid w:val="00755F8D"/>
    <w:rsid w:val="00773317"/>
    <w:rsid w:val="00795A70"/>
    <w:rsid w:val="00796503"/>
    <w:rsid w:val="007D56C8"/>
    <w:rsid w:val="007E19BD"/>
    <w:rsid w:val="007E7303"/>
    <w:rsid w:val="0081085C"/>
    <w:rsid w:val="008122EE"/>
    <w:rsid w:val="00837F53"/>
    <w:rsid w:val="00850561"/>
    <w:rsid w:val="00880F1D"/>
    <w:rsid w:val="00894302"/>
    <w:rsid w:val="008A0670"/>
    <w:rsid w:val="008C5AD0"/>
    <w:rsid w:val="008C7606"/>
    <w:rsid w:val="008D1750"/>
    <w:rsid w:val="008D7800"/>
    <w:rsid w:val="008E2910"/>
    <w:rsid w:val="008E4913"/>
    <w:rsid w:val="008F436D"/>
    <w:rsid w:val="008F74FE"/>
    <w:rsid w:val="00900464"/>
    <w:rsid w:val="0090100E"/>
    <w:rsid w:val="00916B11"/>
    <w:rsid w:val="00934D5F"/>
    <w:rsid w:val="0093767E"/>
    <w:rsid w:val="009448E5"/>
    <w:rsid w:val="00972A02"/>
    <w:rsid w:val="009847DC"/>
    <w:rsid w:val="0099517C"/>
    <w:rsid w:val="009A0937"/>
    <w:rsid w:val="009B2ECD"/>
    <w:rsid w:val="009B7914"/>
    <w:rsid w:val="009F430B"/>
    <w:rsid w:val="00A079AF"/>
    <w:rsid w:val="00A122CE"/>
    <w:rsid w:val="00A20CC8"/>
    <w:rsid w:val="00A42176"/>
    <w:rsid w:val="00A566E7"/>
    <w:rsid w:val="00A71680"/>
    <w:rsid w:val="00A82895"/>
    <w:rsid w:val="00A866DA"/>
    <w:rsid w:val="00A8679E"/>
    <w:rsid w:val="00A935E7"/>
    <w:rsid w:val="00A940D3"/>
    <w:rsid w:val="00A96FCA"/>
    <w:rsid w:val="00AA4BE8"/>
    <w:rsid w:val="00AC0AAB"/>
    <w:rsid w:val="00AC7BA9"/>
    <w:rsid w:val="00AD3F9B"/>
    <w:rsid w:val="00AE26CA"/>
    <w:rsid w:val="00B0425E"/>
    <w:rsid w:val="00B44D43"/>
    <w:rsid w:val="00B550E6"/>
    <w:rsid w:val="00B56728"/>
    <w:rsid w:val="00B900E2"/>
    <w:rsid w:val="00B92CBE"/>
    <w:rsid w:val="00B97A7B"/>
    <w:rsid w:val="00BD684A"/>
    <w:rsid w:val="00BD70DB"/>
    <w:rsid w:val="00BE44BD"/>
    <w:rsid w:val="00BF6B11"/>
    <w:rsid w:val="00BF75FA"/>
    <w:rsid w:val="00BF7A2E"/>
    <w:rsid w:val="00C054E5"/>
    <w:rsid w:val="00C27045"/>
    <w:rsid w:val="00C32DAE"/>
    <w:rsid w:val="00C37F0B"/>
    <w:rsid w:val="00C40E24"/>
    <w:rsid w:val="00C434C1"/>
    <w:rsid w:val="00C478EF"/>
    <w:rsid w:val="00C56714"/>
    <w:rsid w:val="00C64387"/>
    <w:rsid w:val="00C7496C"/>
    <w:rsid w:val="00C90F95"/>
    <w:rsid w:val="00C92D9A"/>
    <w:rsid w:val="00C96EF5"/>
    <w:rsid w:val="00CC5D2C"/>
    <w:rsid w:val="00CE2AFC"/>
    <w:rsid w:val="00D0515C"/>
    <w:rsid w:val="00D278EE"/>
    <w:rsid w:val="00D32B51"/>
    <w:rsid w:val="00D34668"/>
    <w:rsid w:val="00D3740E"/>
    <w:rsid w:val="00D40335"/>
    <w:rsid w:val="00D5732D"/>
    <w:rsid w:val="00D77ADD"/>
    <w:rsid w:val="00D82F57"/>
    <w:rsid w:val="00D841A5"/>
    <w:rsid w:val="00D914D2"/>
    <w:rsid w:val="00DA25DB"/>
    <w:rsid w:val="00DC1364"/>
    <w:rsid w:val="00DC209F"/>
    <w:rsid w:val="00DC2D09"/>
    <w:rsid w:val="00DD4251"/>
    <w:rsid w:val="00DE0207"/>
    <w:rsid w:val="00DE57F3"/>
    <w:rsid w:val="00DE6405"/>
    <w:rsid w:val="00DF3094"/>
    <w:rsid w:val="00E02B50"/>
    <w:rsid w:val="00E03F11"/>
    <w:rsid w:val="00E06DC8"/>
    <w:rsid w:val="00E07D27"/>
    <w:rsid w:val="00E220B5"/>
    <w:rsid w:val="00E33D93"/>
    <w:rsid w:val="00E64B7E"/>
    <w:rsid w:val="00E96CC2"/>
    <w:rsid w:val="00EA3C77"/>
    <w:rsid w:val="00EC325C"/>
    <w:rsid w:val="00EF2F91"/>
    <w:rsid w:val="00F33EE3"/>
    <w:rsid w:val="00F4213B"/>
    <w:rsid w:val="00F57A6D"/>
    <w:rsid w:val="00F67A68"/>
    <w:rsid w:val="00F849ED"/>
    <w:rsid w:val="00F92398"/>
    <w:rsid w:val="00FC2F79"/>
    <w:rsid w:val="00FD31A0"/>
    <w:rsid w:val="00FD3850"/>
    <w:rsid w:val="00FE779D"/>
    <w:rsid w:val="00FF1814"/>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2">
    <w:name w:val="Body Text 2"/>
    <w:basedOn w:val="Normal"/>
    <w:link w:val="BodyText2Char"/>
    <w:rsid w:val="00106D0C"/>
    <w:pPr>
      <w:spacing w:after="120" w:line="480" w:lineRule="auto"/>
    </w:pPr>
  </w:style>
  <w:style w:type="character" w:customStyle="1" w:styleId="BodyText2Char">
    <w:name w:val="Body Text 2 Char"/>
    <w:link w:val="BodyText2"/>
    <w:rsid w:val="00106D0C"/>
    <w:rPr>
      <w:rFonts w:ascii="Arial" w:hAnsi="Arial"/>
      <w:sz w:val="24"/>
      <w:lang w:eastAsia="en-US"/>
    </w:rPr>
  </w:style>
  <w:style w:type="paragraph" w:styleId="BodyTextIndent">
    <w:name w:val="Body Text Indent"/>
    <w:basedOn w:val="Normal"/>
    <w:link w:val="BodyTextIndentChar"/>
    <w:rsid w:val="00106D0C"/>
    <w:pPr>
      <w:spacing w:after="120"/>
      <w:ind w:left="283"/>
    </w:pPr>
  </w:style>
  <w:style w:type="character" w:customStyle="1" w:styleId="BodyTextIndentChar">
    <w:name w:val="Body Text Indent Char"/>
    <w:link w:val="BodyTextIndent"/>
    <w:rsid w:val="00106D0C"/>
    <w:rPr>
      <w:rFonts w:ascii="Arial" w:hAnsi="Arial"/>
      <w:sz w:val="24"/>
      <w:lang w:eastAsia="en-US"/>
    </w:rPr>
  </w:style>
  <w:style w:type="character" w:styleId="Hyperlink">
    <w:name w:val="Hyperlink"/>
    <w:rsid w:val="00106D0C"/>
    <w:rPr>
      <w:color w:val="0000FF"/>
      <w:u w:val="single"/>
    </w:rPr>
  </w:style>
  <w:style w:type="paragraph" w:styleId="ListParagraph">
    <w:name w:val="List Paragraph"/>
    <w:basedOn w:val="Normal"/>
    <w:uiPriority w:val="34"/>
    <w:qFormat/>
    <w:rsid w:val="008943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2019-01-29T10:50:00Z</dcterms:created>
  <dcterms:modified xsi:type="dcterms:W3CDTF">2019-01-29T10:50:00Z</dcterms:modified>
</cp:coreProperties>
</file>